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
        <w:tag w:val="ccTag2"/>
        <w:id w:val="2"/>
      </w:sdtPr>
      <w:sdtEndPr/>
      <w:sdtContent>
        <w:p w14:paraId="7CCCC639" w14:textId="77777777" w:rsidR="00E0425A" w:rsidRPr="00846D93" w:rsidRDefault="00DF24DF">
          <w:pPr>
            <w:pStyle w:val="36Centre"/>
          </w:pPr>
          <w:r w:rsidRPr="00846D93">
            <w:rPr>
              <w:noProof/>
              <w:color w:val="000000"/>
              <w:lang w:bidi="ar-SA"/>
            </w:rPr>
            <mc:AlternateContent>
              <mc:Choice Requires="wps">
                <w:drawing>
                  <wp:anchor distT="0" distB="0" distL="114300" distR="114300" simplePos="0" relativeHeight="251658240" behindDoc="0" locked="0" layoutInCell="1" allowOverlap="1" wp14:anchorId="74146389" wp14:editId="4D3B7455">
                    <wp:simplePos x="0" y="0"/>
                    <wp:positionH relativeFrom="column">
                      <wp:posOffset>-806450</wp:posOffset>
                    </wp:positionH>
                    <wp:positionV relativeFrom="page">
                      <wp:posOffset>9714230</wp:posOffset>
                    </wp:positionV>
                    <wp:extent cx="575945" cy="575945"/>
                    <wp:effectExtent l="12700" t="8255" r="11430"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5945" cy="575945"/>
                            </a:xfrm>
                            <a:prstGeom prst="rect">
                              <a:avLst/>
                            </a:prstGeom>
                            <a:solidFill>
                              <a:srgbClr val="FFFFFF"/>
                            </a:solidFill>
                            <a:ln w="12700" cmpd="sng">
                              <a:solidFill>
                                <a:srgbClr val="000000"/>
                              </a:solidFill>
                              <a:miter lim="800000"/>
                              <a:headEnd/>
                              <a:tailEnd/>
                            </a:ln>
                          </wps:spPr>
                          <wps:txbx>
                            <w:txbxContent>
                              <w:sdt>
                                <w:sdtPr>
                                  <w:tag w:val="RichTC_36785574-66fe-4502-b3aa-3931bca0f094"/>
                                  <w:id w:val="-1873763816"/>
                                </w:sdtPr>
                                <w:sdtEndPr/>
                                <w:sdtContent>
                                  <w:p w14:paraId="6195FC0D" w14:textId="77777777" w:rsidR="0006797D" w:rsidRDefault="0006797D">
                                    <w:pPr>
                                      <w:pStyle w:val="TextBoxStyle"/>
                                    </w:pPr>
                                    <w:r>
                                      <w:t>ET</w:t>
                                    </w:r>
                                  </w:p>
                                </w:sdtContent>
                              </w:sdt>
                            </w:txbxContent>
                          </wps:txbx>
                          <wps:bodyPr rot="0" vert="horz" wrap="square" lIns="35941" tIns="57510" rIns="18034"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46389" id="Rectangle 2" o:spid="_x0000_s1026" style="position:absolute;left:0;text-align:left;margin-left:-63.5pt;margin-top:764.9pt;width:45.35pt;height:4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" strokeweight="1pt">
                    <v:textbox inset="2.83pt,1.5975mm,1.42pt">
                      <w:txbxContent>
                        <w:sdt>
                          <w:sdtPr>
                            <w:tag w:val="RichTC_36785574-66fe-4502-b3aa-3931bca0f094"/>
                            <w:id w:val="-1873763816"/>
                          </w:sdtPr>
                          <w:sdtEndPr/>
                          <w:sdtContent>
                            <w:p w14:paraId="6195FC0D" w14:textId="77777777" w:rsidR="0006797D" w:rsidRDefault="0006797D">
                              <w:pPr>
                                <w:pStyle w:val="TextBoxStyle"/>
                              </w:pPr>
                              <w:r>
                                <w:t>ET</w:t>
                              </w:r>
                            </w:p>
                          </w:sdtContent>
                        </w:sdt>
                      </w:txbxContent>
                    </v:textbox>
                    <w10:wrap anchory="page"/>
                  </v:rect>
                </w:pict>
              </mc:Fallback>
            </mc:AlternateContent>
          </w:r>
          <w:r>
            <w:t>KOHTUJURISTI ETTEPANEK</w:t>
          </w:r>
        </w:p>
      </w:sdtContent>
    </w:sdt>
    <w:sdt>
      <w:sdtPr>
        <w:alias w:val=""/>
        <w:tag w:val="ccTag3"/>
        <w:id w:val="3"/>
      </w:sdtPr>
      <w:sdtEndPr/>
      <w:sdtContent>
        <w:p w14:paraId="56DD7370" w14:textId="77777777" w:rsidR="00E0425A" w:rsidRPr="00846D93" w:rsidRDefault="00365463">
          <w:pPr>
            <w:pStyle w:val="36Centre"/>
          </w:pPr>
          <w:r>
            <w:t>NILS WAHL</w:t>
          </w:r>
        </w:p>
      </w:sdtContent>
    </w:sdt>
    <w:sdt>
      <w:sdtPr>
        <w:alias w:val=""/>
        <w:tag w:val="DateTC_Presenta_xpLxNdRPYkuhMADQtwKvug=="/>
        <w:id w:val="4"/>
      </w:sdtPr>
      <w:sdtEndPr/>
      <w:sdtContent>
        <w:p w14:paraId="08A27DE9" w14:textId="77777777" w:rsidR="00E0425A" w:rsidRPr="00846D93" w:rsidRDefault="00365463">
          <w:pPr>
            <w:pStyle w:val="36Centre"/>
          </w:pPr>
          <w:r>
            <w:t>esitatud 15. märtsil 2017</w:t>
          </w:r>
          <w:r w:rsidR="00DF24DF" w:rsidRPr="00846D93">
            <w:rPr>
              <w:rStyle w:val="FootnoteReference"/>
              <w:lang w:val="en-GB"/>
            </w:rPr>
            <w:footnoteReference w:id="1"/>
          </w:r>
        </w:p>
      </w:sdtContent>
    </w:sdt>
    <w:sdt>
      <w:sdtPr>
        <w:alias w:val=""/>
        <w:tag w:val="ccTag5"/>
        <w:id w:val="5"/>
      </w:sdtPr>
      <w:sdtEndPr/>
      <w:sdtContent>
        <w:p w14:paraId="5CC50E89" w14:textId="77777777" w:rsidR="00E0425A" w:rsidRPr="00846D93" w:rsidRDefault="00DF24DF">
          <w:pPr>
            <w:pStyle w:val="38Centregrasgrandespacement"/>
          </w:pPr>
          <w:r>
            <w:t>Kohtuasi C</w:t>
          </w:r>
          <w:r>
            <w:noBreakHyphen/>
            <w:t>206/16</w:t>
          </w:r>
        </w:p>
      </w:sdtContent>
    </w:sdt>
    <w:sdt>
      <w:sdtPr>
        <w:alias w:val=""/>
        <w:tag w:val="ccTag6"/>
        <w:id w:val="6"/>
      </w:sdtPr>
      <w:sdtEndPr/>
      <w:sdtContent>
        <w:p w14:paraId="0ECB9522" w14:textId="77777777" w:rsidR="00E0425A" w:rsidRPr="00846D93" w:rsidRDefault="00DF24DF">
          <w:pPr>
            <w:pStyle w:val="37Centregras"/>
          </w:pPr>
          <w:r>
            <w:t xml:space="preserve">Marco </w:t>
          </w:r>
          <w:proofErr w:type="spellStart"/>
          <w:r>
            <w:t>Tronchetti</w:t>
          </w:r>
          <w:proofErr w:type="spellEnd"/>
          <w:r>
            <w:t xml:space="preserve"> </w:t>
          </w:r>
          <w:proofErr w:type="spellStart"/>
          <w:r>
            <w:t>Provera</w:t>
          </w:r>
          <w:proofErr w:type="spellEnd"/>
          <w:r>
            <w:t xml:space="preserve"> </w:t>
          </w:r>
          <w:proofErr w:type="spellStart"/>
          <w:r>
            <w:t>SpA</w:t>
          </w:r>
          <w:proofErr w:type="spellEnd"/>
          <w:r>
            <w:t xml:space="preserve"> jt</w:t>
          </w:r>
        </w:p>
      </w:sdtContent>
    </w:sdt>
    <w:sdt>
      <w:sdtPr>
        <w:alias w:val=""/>
        <w:tag w:val="ccTag7"/>
        <w:id w:val="7"/>
      </w:sdtPr>
      <w:sdtEndPr>
        <w:rPr>
          <w:i/>
        </w:rPr>
      </w:sdtEndPr>
      <w:sdtContent>
        <w:p w14:paraId="3324FA64" w14:textId="77777777" w:rsidR="00E0425A" w:rsidRPr="00846D93" w:rsidRDefault="00DF24DF">
          <w:pPr>
            <w:pStyle w:val="37Centregras"/>
            <w:rPr>
              <w:i/>
            </w:rPr>
          </w:pPr>
          <w:r>
            <w:rPr>
              <w:i/>
            </w:rPr>
            <w:t>versus</w:t>
          </w:r>
        </w:p>
      </w:sdtContent>
    </w:sdt>
    <w:sdt>
      <w:sdtPr>
        <w:alias w:val=""/>
        <w:tag w:val="ccTag8"/>
        <w:id w:val="8"/>
      </w:sdtPr>
      <w:sdtEndPr/>
      <w:sdtContent>
        <w:p w14:paraId="2CA69B48" w14:textId="77777777" w:rsidR="00E0425A" w:rsidRPr="00846D93" w:rsidRDefault="00DF24DF">
          <w:pPr>
            <w:pStyle w:val="37Centregras"/>
          </w:pPr>
          <w:proofErr w:type="spellStart"/>
          <w:r>
            <w:t>Commissione</w:t>
          </w:r>
          <w:proofErr w:type="spellEnd"/>
          <w:r>
            <w:t xml:space="preserve"> </w:t>
          </w:r>
          <w:proofErr w:type="spellStart"/>
          <w:r>
            <w:t>Nazionale</w:t>
          </w:r>
          <w:proofErr w:type="spellEnd"/>
          <w:r>
            <w:t xml:space="preserve"> </w:t>
          </w:r>
          <w:proofErr w:type="spellStart"/>
          <w:r>
            <w:t>per</w:t>
          </w:r>
          <w:proofErr w:type="spellEnd"/>
          <w:r>
            <w:t xml:space="preserve"> le </w:t>
          </w:r>
          <w:proofErr w:type="spellStart"/>
          <w:r>
            <w:t>Società</w:t>
          </w:r>
          <w:proofErr w:type="spellEnd"/>
          <w:r>
            <w:t xml:space="preserve"> e la </w:t>
          </w:r>
          <w:proofErr w:type="spellStart"/>
          <w:r>
            <w:t>Borsa</w:t>
          </w:r>
          <w:proofErr w:type="spellEnd"/>
          <w:r>
            <w:t xml:space="preserve"> (</w:t>
          </w:r>
          <w:proofErr w:type="spellStart"/>
          <w:r>
            <w:t>Consob</w:t>
          </w:r>
          <w:proofErr w:type="spellEnd"/>
          <w:r>
            <w:t>)</w:t>
          </w:r>
        </w:p>
      </w:sdtContent>
    </w:sdt>
    <w:sdt>
      <w:sdtPr>
        <w:alias w:val=""/>
        <w:tag w:val="ccTag9"/>
        <w:id w:val="9"/>
      </w:sdtPr>
      <w:sdtEndPr/>
      <w:sdtContent>
        <w:p w14:paraId="0E9FE18A" w14:textId="77777777" w:rsidR="00E0425A" w:rsidRPr="00846D93" w:rsidRDefault="008E386C">
          <w:pPr>
            <w:pStyle w:val="37Centregras"/>
          </w:pPr>
          <w:r>
            <w:t xml:space="preserve">     </w:t>
          </w:r>
        </w:p>
      </w:sdtContent>
    </w:sdt>
    <w:sdt>
      <w:sdtPr>
        <w:alias w:val=""/>
        <w:tag w:val="ccTag10"/>
        <w:id w:val="10"/>
      </w:sdtPr>
      <w:sdtEndPr/>
      <w:sdtContent>
        <w:p w14:paraId="269C3072" w14:textId="77777777" w:rsidR="00E0425A" w:rsidRPr="00846D93" w:rsidRDefault="00DF24DF">
          <w:pPr>
            <w:pStyle w:val="39Centreespacement"/>
          </w:pPr>
          <w:r>
            <w:t xml:space="preserve">(eelotsusetaotlus, mille on esitanud </w:t>
          </w:r>
          <w:proofErr w:type="spellStart"/>
          <w:r>
            <w:t>Consiglio</w:t>
          </w:r>
          <w:proofErr w:type="spellEnd"/>
          <w:r>
            <w:t xml:space="preserve"> di </w:t>
          </w:r>
          <w:proofErr w:type="spellStart"/>
          <w:r>
            <w:t>Stato</w:t>
          </w:r>
          <w:proofErr w:type="spellEnd"/>
          <w:r>
            <w:t xml:space="preserve"> (Itaalia kõrgeima halduskohtuna tegutsev riiginõukogu))</w:t>
          </w:r>
        </w:p>
      </w:sdtContent>
    </w:sdt>
    <w:sdt>
      <w:sdtPr>
        <w:alias w:val=""/>
        <w:tag w:val="ccTag11"/>
        <w:id w:val="11"/>
      </w:sdtPr>
      <w:sdtEndPr/>
      <w:sdtContent>
        <w:p w14:paraId="50FB3990" w14:textId="77777777" w:rsidR="00E0425A" w:rsidRPr="00846D93" w:rsidRDefault="00DF24DF">
          <w:pPr>
            <w:pStyle w:val="71Indicateur"/>
          </w:pPr>
          <w:r>
            <w:t>Äriühinguõigus – Direktiiv 2004/25/EÜ – Vähemusaktsionäride huvide kaitsmine ülevõtmispakkumiste puhul – Artikli 5 lõige 4 – Mõiste „selgesti määratletud“ – Siseriiklikud õigusnormid, mis lubavad järelevalveasutusel kohandada ülevõtmispakkumisega pakutavat hinda – Sobing pakkumise tegija või temaga kooskõlastatult tegutsevate isikute ja ühe või mitme müüja vahel</w:t>
          </w:r>
        </w:p>
      </w:sdtContent>
    </w:sdt>
    <w:sdt>
      <w:sdtPr>
        <w:alias w:val=""/>
        <w:tag w:val="ccTag12"/>
        <w:id w:val="12"/>
      </w:sdtPr>
      <w:sdtEndPr/>
      <w:sdtContent>
        <w:p w14:paraId="50DC3356" w14:textId="77777777" w:rsidR="006361B5" w:rsidRPr="00846D93" w:rsidRDefault="006361B5" w:rsidP="006361B5">
          <w:pPr>
            <w:pStyle w:val="02AlineaAltA"/>
          </w:pPr>
          <w:r>
            <w:br w:type="page"/>
          </w:r>
        </w:p>
      </w:sdtContent>
    </w:sdt>
    <w:sdt>
      <w:sdtPr>
        <w:alias w:val=""/>
        <w:tag w:val="ccTag13"/>
        <w:id w:val="13"/>
      </w:sdtPr>
      <w:sdtEndPr/>
      <w:sdtContent>
        <w:p w14:paraId="2AAA44E8" w14:textId="77777777" w:rsidR="00E0425A" w:rsidRPr="00846D93" w:rsidRDefault="00992BF1">
          <w:pPr>
            <w:pStyle w:val="01PointAltN"/>
          </w:pPr>
          <w:r>
            <w:t>Käesoleva eelotsusetaotluse teema on direktiivi 2004/25/EÜ</w:t>
          </w:r>
          <w:r w:rsidR="00534340" w:rsidRPr="00846D93">
            <w:rPr>
              <w:rStyle w:val="FootnoteReference"/>
              <w:lang w:val="en-GB"/>
            </w:rPr>
            <w:footnoteReference w:id="2"/>
          </w:r>
          <w:r>
            <w:t xml:space="preserve"> artikli 5 lõike 4 õige tõlgendamine. See säte annab liikmesriikidele õiguse volitada oma väärtpaberijärelevalvega tegelevat asutust (edaspidi „riiklik väärtpaberijärelevalve“) korrigeerima selle direktiivi kohaselt tehtavas ülevõtmispakkumises pakutavat hinda. </w:t>
          </w:r>
          <w:proofErr w:type="spellStart"/>
          <w:r w:rsidRPr="00287F16">
            <w:rPr>
              <w:highlight w:val="yellow"/>
            </w:rPr>
            <w:t>That</w:t>
          </w:r>
          <w:proofErr w:type="spellEnd"/>
          <w:r w:rsidRPr="00287F16">
            <w:rPr>
              <w:highlight w:val="yellow"/>
            </w:rPr>
            <w:t xml:space="preserve"> </w:t>
          </w:r>
          <w:proofErr w:type="spellStart"/>
          <w:r w:rsidRPr="00287F16">
            <w:rPr>
              <w:highlight w:val="yellow"/>
            </w:rPr>
            <w:t>provision</w:t>
          </w:r>
          <w:proofErr w:type="spellEnd"/>
          <w:r w:rsidRPr="00287F16">
            <w:rPr>
              <w:highlight w:val="yellow"/>
            </w:rPr>
            <w:t xml:space="preserve"> </w:t>
          </w:r>
          <w:proofErr w:type="spellStart"/>
          <w:r w:rsidRPr="00287F16">
            <w:rPr>
              <w:highlight w:val="yellow"/>
            </w:rPr>
            <w:t>allows</w:t>
          </w:r>
          <w:proofErr w:type="spellEnd"/>
          <w:r w:rsidRPr="00287F16">
            <w:rPr>
              <w:highlight w:val="yellow"/>
            </w:rPr>
            <w:t xml:space="preserve"> </w:t>
          </w:r>
          <w:proofErr w:type="spellStart"/>
          <w:r w:rsidRPr="00287F16">
            <w:rPr>
              <w:highlight w:val="yellow"/>
            </w:rPr>
            <w:t>Member</w:t>
          </w:r>
          <w:proofErr w:type="spellEnd"/>
          <w:r w:rsidRPr="00287F16">
            <w:rPr>
              <w:highlight w:val="yellow"/>
            </w:rPr>
            <w:t xml:space="preserve"> </w:t>
          </w:r>
          <w:proofErr w:type="spellStart"/>
          <w:r w:rsidRPr="00287F16">
            <w:rPr>
              <w:highlight w:val="yellow"/>
            </w:rPr>
            <w:t>States</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authorise</w:t>
          </w:r>
          <w:proofErr w:type="spellEnd"/>
          <w:r w:rsidRPr="00287F16">
            <w:rPr>
              <w:highlight w:val="yellow"/>
            </w:rPr>
            <w:t xml:space="preserve"> </w:t>
          </w:r>
          <w:proofErr w:type="spellStart"/>
          <w:r w:rsidRPr="00287F16">
            <w:rPr>
              <w:highlight w:val="yellow"/>
            </w:rPr>
            <w:t>their</w:t>
          </w:r>
          <w:proofErr w:type="spellEnd"/>
          <w:r w:rsidRPr="00287F16">
            <w:rPr>
              <w:highlight w:val="yellow"/>
            </w:rPr>
            <w:t xml:space="preserve"> </w:t>
          </w:r>
          <w:proofErr w:type="spellStart"/>
          <w:r w:rsidRPr="00287F16">
            <w:rPr>
              <w:highlight w:val="yellow"/>
            </w:rPr>
            <w:t>national</w:t>
          </w:r>
          <w:proofErr w:type="spellEnd"/>
          <w:r w:rsidRPr="00287F16">
            <w:rPr>
              <w:highlight w:val="yellow"/>
            </w:rPr>
            <w:t xml:space="preserve"> </w:t>
          </w:r>
          <w:proofErr w:type="spellStart"/>
          <w:r w:rsidRPr="00287F16">
            <w:rPr>
              <w:highlight w:val="yellow"/>
            </w:rPr>
            <w:t>supervisory</w:t>
          </w:r>
          <w:proofErr w:type="spellEnd"/>
          <w:r w:rsidRPr="00287F16">
            <w:rPr>
              <w:highlight w:val="yellow"/>
            </w:rPr>
            <w:t xml:space="preserve"> </w:t>
          </w:r>
          <w:proofErr w:type="spellStart"/>
          <w:r w:rsidRPr="00287F16">
            <w:rPr>
              <w:highlight w:val="yellow"/>
            </w:rPr>
            <w:t>authority</w:t>
          </w:r>
          <w:proofErr w:type="spellEnd"/>
          <w:r w:rsidRPr="00287F16">
            <w:rPr>
              <w:highlight w:val="yellow"/>
            </w:rPr>
            <w:t xml:space="preserve"> in the </w:t>
          </w:r>
          <w:proofErr w:type="spellStart"/>
          <w:r w:rsidRPr="00287F16">
            <w:rPr>
              <w:highlight w:val="yellow"/>
            </w:rPr>
            <w:t>field</w:t>
          </w:r>
          <w:proofErr w:type="spellEnd"/>
          <w:r w:rsidRPr="00287F16">
            <w:rPr>
              <w:highlight w:val="yellow"/>
            </w:rPr>
            <w:t xml:space="preserve"> of </w:t>
          </w:r>
          <w:proofErr w:type="spellStart"/>
          <w:r w:rsidRPr="00287F16">
            <w:rPr>
              <w:highlight w:val="yellow"/>
            </w:rPr>
            <w:t>securities</w:t>
          </w:r>
          <w:proofErr w:type="spellEnd"/>
          <w:r w:rsidRPr="00287F16">
            <w:rPr>
              <w:highlight w:val="yellow"/>
            </w:rPr>
            <w:t xml:space="preserve"> (‘NSA’) </w:t>
          </w:r>
          <w:proofErr w:type="spellStart"/>
          <w:r w:rsidRPr="00287F16">
            <w:rPr>
              <w:highlight w:val="yellow"/>
            </w:rPr>
            <w:t>to</w:t>
          </w:r>
          <w:proofErr w:type="spellEnd"/>
          <w:r w:rsidRPr="00287F16">
            <w:rPr>
              <w:highlight w:val="yellow"/>
            </w:rPr>
            <w:t xml:space="preserve"> </w:t>
          </w:r>
          <w:proofErr w:type="spellStart"/>
          <w:r w:rsidRPr="00287F16">
            <w:rPr>
              <w:highlight w:val="yellow"/>
            </w:rPr>
            <w:t>adjust</w:t>
          </w:r>
          <w:proofErr w:type="spellEnd"/>
          <w:r w:rsidRPr="00287F16">
            <w:rPr>
              <w:highlight w:val="yellow"/>
            </w:rPr>
            <w:t xml:space="preserve"> the </w:t>
          </w:r>
          <w:proofErr w:type="spellStart"/>
          <w:r w:rsidRPr="00287F16">
            <w:rPr>
              <w:highlight w:val="yellow"/>
            </w:rPr>
            <w:t>price</w:t>
          </w:r>
          <w:proofErr w:type="spellEnd"/>
          <w:r w:rsidRPr="00287F16">
            <w:rPr>
              <w:highlight w:val="yellow"/>
            </w:rPr>
            <w:t xml:space="preserve"> </w:t>
          </w:r>
          <w:proofErr w:type="spellStart"/>
          <w:r w:rsidRPr="00287F16">
            <w:rPr>
              <w:highlight w:val="yellow"/>
            </w:rPr>
            <w:t>offered</w:t>
          </w:r>
          <w:proofErr w:type="spellEnd"/>
          <w:r w:rsidRPr="00287F16">
            <w:rPr>
              <w:highlight w:val="yellow"/>
            </w:rPr>
            <w:t xml:space="preserve"> in a </w:t>
          </w:r>
          <w:proofErr w:type="spellStart"/>
          <w:r w:rsidRPr="00287F16">
            <w:rPr>
              <w:highlight w:val="yellow"/>
            </w:rPr>
            <w:t>mandatory</w:t>
          </w:r>
          <w:proofErr w:type="spellEnd"/>
          <w:r w:rsidRPr="00287F16">
            <w:rPr>
              <w:highlight w:val="yellow"/>
            </w:rPr>
            <w:t xml:space="preserve"> </w:t>
          </w:r>
          <w:proofErr w:type="spellStart"/>
          <w:r w:rsidRPr="00287F16">
            <w:rPr>
              <w:highlight w:val="yellow"/>
            </w:rPr>
            <w:t>takeover</w:t>
          </w:r>
          <w:proofErr w:type="spellEnd"/>
          <w:r w:rsidRPr="00287F16">
            <w:rPr>
              <w:highlight w:val="yellow"/>
            </w:rPr>
            <w:t xml:space="preserve"> </w:t>
          </w:r>
          <w:proofErr w:type="spellStart"/>
          <w:r w:rsidRPr="00287F16">
            <w:rPr>
              <w:highlight w:val="yellow"/>
            </w:rPr>
            <w:t>bid</w:t>
          </w:r>
          <w:proofErr w:type="spellEnd"/>
          <w:r w:rsidRPr="00287F16">
            <w:rPr>
              <w:highlight w:val="yellow"/>
            </w:rPr>
            <w:t xml:space="preserve"> made in </w:t>
          </w:r>
          <w:proofErr w:type="spellStart"/>
          <w:r w:rsidRPr="00287F16">
            <w:rPr>
              <w:highlight w:val="yellow"/>
            </w:rPr>
            <w:t>accordance</w:t>
          </w:r>
          <w:proofErr w:type="spellEnd"/>
          <w:r w:rsidRPr="00287F16">
            <w:rPr>
              <w:highlight w:val="yellow"/>
            </w:rPr>
            <w:t xml:space="preserve"> </w:t>
          </w:r>
          <w:proofErr w:type="spellStart"/>
          <w:r w:rsidRPr="00287F16">
            <w:rPr>
              <w:highlight w:val="yellow"/>
            </w:rPr>
            <w:t>with</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directive</w:t>
          </w:r>
          <w:proofErr w:type="spellEnd"/>
          <w:r>
            <w:t>. Samas kohustab direktiiv selliseid meetmeid võtma „selgesti määratletud“ viisil.</w:t>
          </w:r>
        </w:p>
      </w:sdtContent>
    </w:sdt>
    <w:sdt>
      <w:sdtPr>
        <w:alias w:val=""/>
        <w:tag w:val="ccTag14"/>
        <w:id w:val="14"/>
      </w:sdtPr>
      <w:sdtEndPr/>
      <w:sdtContent>
        <w:p w14:paraId="612249E0" w14:textId="77777777" w:rsidR="007F71E5" w:rsidRPr="00846D93" w:rsidRDefault="004474B1" w:rsidP="007F71E5">
          <w:pPr>
            <w:pStyle w:val="01PointAltN"/>
          </w:pPr>
          <w:r>
            <w:t xml:space="preserve">Põhikohtuasjas kahtleb </w:t>
          </w:r>
          <w:proofErr w:type="spellStart"/>
          <w:r>
            <w:t>Consiglio</w:t>
          </w:r>
          <w:proofErr w:type="spellEnd"/>
          <w:r>
            <w:t xml:space="preserve"> di </w:t>
          </w:r>
          <w:proofErr w:type="spellStart"/>
          <w:r>
            <w:t>Stato</w:t>
          </w:r>
          <w:proofErr w:type="spellEnd"/>
          <w:r>
            <w:t xml:space="preserve"> (Itaalia kõrgeima halduskohtuna tegutsev riiginõukogu) selles, kas võimalust kohaldada direktiivi rakendavaid Itaalia õigusakte, mis annavad </w:t>
          </w:r>
          <w:proofErr w:type="spellStart"/>
          <w:r>
            <w:t>Commissione</w:t>
          </w:r>
          <w:proofErr w:type="spellEnd"/>
          <w:r>
            <w:t xml:space="preserve"> </w:t>
          </w:r>
          <w:proofErr w:type="spellStart"/>
          <w:r>
            <w:t>Nazionale</w:t>
          </w:r>
          <w:proofErr w:type="spellEnd"/>
          <w:r>
            <w:t xml:space="preserve"> </w:t>
          </w:r>
          <w:proofErr w:type="spellStart"/>
          <w:r>
            <w:t>per</w:t>
          </w:r>
          <w:proofErr w:type="spellEnd"/>
          <w:r>
            <w:t xml:space="preserve"> le </w:t>
          </w:r>
          <w:proofErr w:type="spellStart"/>
          <w:r>
            <w:t>Società</w:t>
          </w:r>
          <w:proofErr w:type="spellEnd"/>
          <w:r>
            <w:t xml:space="preserve"> e la Borsale (äriühingute ja väärtpaberiturgude riiklik järelevalveamet, edaspidi „</w:t>
          </w:r>
          <w:proofErr w:type="spellStart"/>
          <w:r>
            <w:t>Consob</w:t>
          </w:r>
          <w:proofErr w:type="spellEnd"/>
          <w:r>
            <w:t>“) ehk Itaalia väärtpaberijärelevalvele õiguse suurendada sobingu korral kohustuslikus ülevõtmispakkumises pakutavat hinda, saab pidada direktiivi 2004/25 artikli 5 lõike 4 tähenduses „selgesti määratletuks“.</w:t>
          </w:r>
        </w:p>
      </w:sdtContent>
    </w:sdt>
    <w:sdt>
      <w:sdtPr>
        <w:alias w:val=""/>
        <w:tag w:val="ccTag15"/>
        <w:id w:val="15"/>
      </w:sdtPr>
      <w:sdtEndPr/>
      <w:sdtContent>
        <w:p w14:paraId="7B790F28" w14:textId="77777777" w:rsidR="004461D5" w:rsidRPr="00846D93" w:rsidRDefault="00530BD3" w:rsidP="004461D5">
          <w:pPr>
            <w:pStyle w:val="01PointAltN"/>
          </w:pPr>
          <w:r>
            <w:t>Põhikohtuasja eripära seisneb sellest, et ülevõtmispakkumises pakutava hinna kohandamise tingis muu tehing kui see, mille alusel kohustuslik ülevõtmispakkumine esitati. Lisaks ei ole tõendatud, et kõik selles muus tehingus osalenud pooled sõlmisid teadlikult sobingu või olid selle ohust teadlikud. Seepärast on Euroopa Kohtul käesolevas kohtuasjas võimalus piiritleda liikmesriikide õigust volitada oma väärtpaberijärelevalvet tegema erandit direktiivi 2004/25 artikli 5 lõikes 4 sätestatud kõrgeima hinna reeglist (edaspidi „kõrgeima hinna reegel“).</w:t>
          </w:r>
        </w:p>
      </w:sdtContent>
    </w:sdt>
    <w:sdt>
      <w:sdtPr>
        <w:alias w:val=""/>
        <w:tag w:val="ccTag16"/>
        <w:id w:val="16"/>
      </w:sdtPr>
      <w:sdtEndPr/>
      <w:sdtContent>
        <w:p w14:paraId="6E476A3D" w14:textId="77777777" w:rsidR="006645EC" w:rsidRPr="00846D93" w:rsidRDefault="006645EC" w:rsidP="006645EC">
          <w:pPr>
            <w:pStyle w:val="01PointAltN"/>
          </w:pPr>
          <w:r>
            <w:t>Nagu ma allpool selgitan, annab direktiivi 2004/25 artikli 5 lõige 4 liikmesriikidele põhimõttelise õiguse volitada oma väärtpaberijärelevalvet kohandama eelmises punktis kirjeldatud tüüpi sobingu korral kohustuslikus ülevõtmispakkumises pakutavat hinda. Samas keelab see säte sellist reeglit kohaldada olukorras, mida ilma direktiivi kohaldamiseta muidu siseriikliku õiguse kohaselt sobinguks ei liigitataks.</w:t>
          </w:r>
        </w:p>
      </w:sdtContent>
    </w:sdt>
    <w:sdt>
      <w:sdtPr>
        <w:alias w:val=""/>
        <w:tag w:val="ccTag17"/>
        <w:id w:val="17"/>
      </w:sdtPr>
      <w:sdtEndPr/>
      <w:sdtContent>
        <w:p w14:paraId="44C397FA" w14:textId="77777777" w:rsidR="00992BF1" w:rsidRPr="00846D93" w:rsidRDefault="00992BF1" w:rsidP="00992BF1">
          <w:pPr>
            <w:pStyle w:val="21Titrenumerote1"/>
          </w:pPr>
          <w:r>
            <w:t>Õiguslik raamistik</w:t>
          </w:r>
        </w:p>
      </w:sdtContent>
    </w:sdt>
    <w:sdt>
      <w:sdtPr>
        <w:alias w:val=""/>
        <w:tag w:val="ccTag18"/>
        <w:id w:val="18"/>
      </w:sdtPr>
      <w:sdtEndPr/>
      <w:sdtContent>
        <w:p w14:paraId="1EAA285D" w14:textId="77777777" w:rsidR="00992BF1" w:rsidRPr="00846D93" w:rsidRDefault="00992BF1" w:rsidP="00992BF1">
          <w:pPr>
            <w:pStyle w:val="22Titrenumerote2"/>
          </w:pPr>
          <w:r>
            <w:t>Direktiiv 2004/25</w:t>
          </w:r>
        </w:p>
      </w:sdtContent>
    </w:sdt>
    <w:sdt>
      <w:sdtPr>
        <w:alias w:val=""/>
        <w:tag w:val="ccTag19"/>
        <w:id w:val="19"/>
      </w:sdtPr>
      <w:sdtEndPr/>
      <w:sdtContent>
        <w:p w14:paraId="00DB49C3" w14:textId="77777777" w:rsidR="0019397A" w:rsidRPr="00846D93" w:rsidRDefault="0019397A" w:rsidP="0019397A">
          <w:pPr>
            <w:pStyle w:val="01PointAltN"/>
          </w:pPr>
          <w:r>
            <w:t xml:space="preserve">Direktiiviga 2004/25 loodud menetlust kohaldatakse selle artikli 1 kohaselt „selliste ettevõtete väärtpaberite </w:t>
          </w:r>
          <w:proofErr w:type="spellStart"/>
          <w:r>
            <w:t>ülevõtmispakkumis</w:t>
          </w:r>
          <w:proofErr w:type="spellEnd"/>
          <w:r>
            <w:t xml:space="preserve">[te suhtes], kelle suhtes </w:t>
          </w:r>
          <w:r>
            <w:lastRenderedPageBreak/>
            <w:t>kohaldatakse liikmesriikide õigust, kusjuures kõigi kõnealuste väärtpaberitega või osaga nendest on lubatud kaubelda reguleeritud turul“. Direktiivi artikli 2 („Mõisted“) lõike 1 punktis a on mõiste „ülevõtmispakkumine“ (või „pakkumine“) määratletud järgmiselt: „ettevõtte väärtpaberite omanikele tehtud avalik pakkumine (v.a pakkumise objektiks oleva ettevõtte enda poolt) sooviga omandada kõik kõnealused väärtpaberid või osa nendest kas kohustuslikult või vabatahtlikult, kusjuures pakkumine tehakse vastavalt siseriiklikule õigusele kas pärast kontrolli omandamist pakkumise objektiks oleva ettevõtte üle või on see pakkumise eesmärgiks“.</w:t>
          </w:r>
        </w:p>
      </w:sdtContent>
    </w:sdt>
    <w:sdt>
      <w:sdtPr>
        <w:alias w:val=""/>
        <w:tag w:val="ccTag20"/>
        <w:id w:val="20"/>
      </w:sdtPr>
      <w:sdtEndPr/>
      <w:sdtContent>
        <w:p w14:paraId="77A9665F" w14:textId="77777777" w:rsidR="00296D7F" w:rsidRPr="00846D93" w:rsidRDefault="00296D7F" w:rsidP="00296D7F">
          <w:pPr>
            <w:pStyle w:val="01PointAltN"/>
          </w:pPr>
          <w:r>
            <w:t xml:space="preserve">Direktiivi 2004/25 artikkel 3 („Üldpõhimõtted“) sätestab: </w:t>
          </w:r>
        </w:p>
      </w:sdtContent>
    </w:sdt>
    <w:sdt>
      <w:sdtPr>
        <w:alias w:val=""/>
        <w:tag w:val="ccTag21"/>
        <w:id w:val="21"/>
      </w:sdtPr>
      <w:sdtEndPr/>
      <w:sdtContent>
        <w:p w14:paraId="38C954FB" w14:textId="77777777" w:rsidR="007649FB" w:rsidRPr="00846D93" w:rsidRDefault="007649FB" w:rsidP="007649FB">
          <w:pPr>
            <w:pStyle w:val="02AlineaAltA"/>
          </w:pPr>
          <w:r>
            <w:t xml:space="preserve">„1. </w:t>
          </w:r>
          <w:r>
            <w:tab/>
            <w:t>Käesoleva direktiivi rakendamiseks tagavad liikmesriigid, et järgitakse alljärgnevaid põhimõtteid:</w:t>
          </w:r>
        </w:p>
      </w:sdtContent>
    </w:sdt>
    <w:sdt>
      <w:sdtPr>
        <w:alias w:val=""/>
        <w:tag w:val="ccTag22"/>
        <w:id w:val="22"/>
      </w:sdtPr>
      <w:sdtEndPr/>
      <w:sdtContent>
        <w:p w14:paraId="1ECDF9FA" w14:textId="77777777" w:rsidR="007649FB" w:rsidRPr="00846D93" w:rsidRDefault="007649FB" w:rsidP="007649FB">
          <w:pPr>
            <w:pStyle w:val="09Marge0avecretrait"/>
          </w:pPr>
          <w:r>
            <w:t>a)</w:t>
          </w:r>
          <w:r>
            <w:tab/>
            <w:t xml:space="preserve"> pakkumise objektiks oleva ettevõtte sama liiki väärtpaberite kõiki omanikke tuleb kohelda võrdväärselt; lisaks tuleb kaitsta teisi väärtpaberite omanikke, kui isik omandab kontrolli ettevõtte üle;</w:t>
          </w:r>
        </w:p>
      </w:sdtContent>
    </w:sdt>
    <w:sdt>
      <w:sdtPr>
        <w:alias w:val=""/>
        <w:tag w:val="ccTag23"/>
        <w:id w:val="23"/>
      </w:sdtPr>
      <w:sdtEndPr/>
      <w:sdtContent>
        <w:p w14:paraId="5EFBA8A9" w14:textId="77777777" w:rsidR="007649FB" w:rsidRPr="00846D93" w:rsidRDefault="007649FB" w:rsidP="007649FB">
          <w:pPr>
            <w:pStyle w:val="09Marge0avecretrait"/>
          </w:pPr>
          <w:r>
            <w:t>b)</w:t>
          </w:r>
          <w:r>
            <w:tab/>
            <w:t xml:space="preserve"> pakkumise objektiks oleva ettevõtte väärtpaberite omanikel peab olema piisavalt aega ja informatsiooni võtmaks vastu asjakohasel teabel põhinevaid otsuseid pakkumise kohta; […]</w:t>
          </w:r>
        </w:p>
      </w:sdtContent>
    </w:sdt>
    <w:sdt>
      <w:sdtPr>
        <w:alias w:val=""/>
        <w:tag w:val="ccTag24"/>
        <w:id w:val="24"/>
      </w:sdtPr>
      <w:sdtEndPr/>
      <w:sdtContent>
        <w:p w14:paraId="7782481D" w14:textId="77777777" w:rsidR="007649FB" w:rsidRPr="00846D93" w:rsidRDefault="007C7F2D" w:rsidP="007649FB">
          <w:pPr>
            <w:pStyle w:val="09Marge0avecretrait"/>
          </w:pPr>
          <w:r>
            <w:t>[…]</w:t>
          </w:r>
        </w:p>
      </w:sdtContent>
    </w:sdt>
    <w:sdt>
      <w:sdtPr>
        <w:alias w:val=""/>
        <w:tag w:val="ccTag25"/>
        <w:id w:val="25"/>
      </w:sdtPr>
      <w:sdtEndPr/>
      <w:sdtContent>
        <w:p w14:paraId="5C156FE1" w14:textId="77777777" w:rsidR="007649FB" w:rsidRPr="00846D93" w:rsidRDefault="007649FB" w:rsidP="007649FB">
          <w:pPr>
            <w:pStyle w:val="09Marge0avecretrait"/>
          </w:pPr>
          <w:r>
            <w:t>d)</w:t>
          </w:r>
          <w:r>
            <w:tab/>
            <w:t>pakkumise objektiks oleva ettevõtte, pakkumist esitava ettevõtte või mõne muu, pakkumise mõjupiirkonnas oleva ettevõtte väärtpaberiturul ei tohi tekkida moonutusi nii, et väärtpaberite kurss tõuseb või langeb kunstlikult ning turu normaalne funktsioneerimine on häiritud;</w:t>
          </w:r>
        </w:p>
      </w:sdtContent>
    </w:sdt>
    <w:sdt>
      <w:sdtPr>
        <w:alias w:val=""/>
        <w:tag w:val="ccTag26"/>
        <w:id w:val="26"/>
      </w:sdtPr>
      <w:sdtEndPr/>
      <w:sdtContent>
        <w:p w14:paraId="3D71E195" w14:textId="77777777" w:rsidR="007649FB" w:rsidRPr="00846D93" w:rsidRDefault="007C7F2D" w:rsidP="007649FB">
          <w:pPr>
            <w:pStyle w:val="09Marge0avecretrait"/>
          </w:pPr>
          <w:r>
            <w:t>[…]</w:t>
          </w:r>
        </w:p>
      </w:sdtContent>
    </w:sdt>
    <w:sdt>
      <w:sdtPr>
        <w:alias w:val=""/>
        <w:tag w:val="ccTag27"/>
        <w:id w:val="27"/>
      </w:sdtPr>
      <w:sdtEndPr/>
      <w:sdtContent>
        <w:p w14:paraId="54E7D89C" w14:textId="77777777" w:rsidR="007649FB" w:rsidRPr="00846D93" w:rsidRDefault="007649FB" w:rsidP="007649FB">
          <w:pPr>
            <w:pStyle w:val="02AlineaAltA"/>
          </w:pPr>
          <w:r>
            <w:t xml:space="preserve">2. </w:t>
          </w:r>
          <w:r>
            <w:tab/>
            <w:t>Lõikes 1 sätestatud põhimõtete järgimiseks liikmesriigid:</w:t>
          </w:r>
        </w:p>
      </w:sdtContent>
    </w:sdt>
    <w:sdt>
      <w:sdtPr>
        <w:alias w:val=""/>
        <w:tag w:val="ccTag28"/>
        <w:id w:val="28"/>
      </w:sdtPr>
      <w:sdtEndPr/>
      <w:sdtContent>
        <w:p w14:paraId="5D6DBD73" w14:textId="77777777" w:rsidR="007649FB" w:rsidRPr="00846D93" w:rsidRDefault="007649FB" w:rsidP="007649FB">
          <w:pPr>
            <w:pStyle w:val="09Marge0avecretrait"/>
          </w:pPr>
          <w:r>
            <w:t>a)</w:t>
          </w:r>
          <w:r>
            <w:tab/>
            <w:t>tagavad, et täidetakse käesolevas direktiivis sätestatud miinimumnõuded;</w:t>
          </w:r>
        </w:p>
      </w:sdtContent>
    </w:sdt>
    <w:sdt>
      <w:sdtPr>
        <w:alias w:val=""/>
        <w:tag w:val="ccTag29"/>
        <w:id w:val="29"/>
      </w:sdtPr>
      <w:sdtEndPr/>
      <w:sdtContent>
        <w:p w14:paraId="5609CA61" w14:textId="77777777" w:rsidR="007649FB" w:rsidRPr="00846D93" w:rsidRDefault="007649FB" w:rsidP="007649FB">
          <w:pPr>
            <w:pStyle w:val="09Marge0avecretrait"/>
          </w:pPr>
          <w:r>
            <w:t>b)</w:t>
          </w:r>
          <w:r>
            <w:tab/>
            <w:t>võivad pakkumiste reguleerimisele kehtestada täiendavaid tingimusi ja eeskirju, mis on rangemad kui käesolevas direktiivis sätestatud tingimused ja eeskirjad.“</w:t>
          </w:r>
        </w:p>
      </w:sdtContent>
    </w:sdt>
    <w:sdt>
      <w:sdtPr>
        <w:alias w:val=""/>
        <w:tag w:val="ccTag30"/>
        <w:id w:val="30"/>
      </w:sdtPr>
      <w:sdtEndPr/>
      <w:sdtContent>
        <w:p w14:paraId="50A5D0C4" w14:textId="77777777" w:rsidR="00183E85" w:rsidRPr="00846D93" w:rsidRDefault="00183E85" w:rsidP="00183E85">
          <w:pPr>
            <w:pStyle w:val="01PointAltN"/>
          </w:pPr>
          <w:r>
            <w:t>Direktiivi 2004/25 artikli 4 („Järelevalveasutus ja kohaldatav õigus“) lõige 2 määrab kindlaks ülevõtmise suhtes pädeva riikliku järelevalveasutuse. Selle punkt a sätestab, et „[p]</w:t>
          </w:r>
          <w:proofErr w:type="spellStart"/>
          <w:r>
            <w:t>akkumise</w:t>
          </w:r>
          <w:proofErr w:type="spellEnd"/>
          <w:r>
            <w:t xml:space="preserve"> üle järelevalve teostamiseks pädev ametiasutus on selle liikmesriigi ametiasutus, kus on pakkumise objektiks oleva äriühingu registreeritud asukoht, juhul kui äriühingu väärtpaberitega on lubatud kaubelda kõnealuse liikmesriigi reguleeritud turul“.</w:t>
          </w:r>
        </w:p>
      </w:sdtContent>
    </w:sdt>
    <w:sdt>
      <w:sdtPr>
        <w:alias w:val=""/>
        <w:tag w:val="ccTag31"/>
        <w:id w:val="31"/>
      </w:sdtPr>
      <w:sdtEndPr/>
      <w:sdtContent>
        <w:p w14:paraId="0446CDC4" w14:textId="77777777" w:rsidR="005D4DCB" w:rsidRPr="00846D93" w:rsidRDefault="005D4DCB" w:rsidP="005D4DCB">
          <w:pPr>
            <w:pStyle w:val="01PointAltN"/>
          </w:pPr>
          <w:r>
            <w:t>Direktiivi 2004/25 artikli 4 lõige 5 sätestab:</w:t>
          </w:r>
        </w:p>
      </w:sdtContent>
    </w:sdt>
    <w:sdt>
      <w:sdtPr>
        <w:alias w:val=""/>
        <w:tag w:val="ccTag32"/>
        <w:id w:val="32"/>
      </w:sdtPr>
      <w:sdtEndPr/>
      <w:sdtContent>
        <w:p w14:paraId="2B509486" w14:textId="77777777" w:rsidR="00BF0E9A" w:rsidRPr="00846D93" w:rsidRDefault="00BF0E9A" w:rsidP="00BF0E9A">
          <w:pPr>
            <w:pStyle w:val="02AlineaAltA"/>
          </w:pPr>
          <w:r>
            <w:t>„5.</w:t>
          </w:r>
          <w:r>
            <w:tab/>
            <w:t>Järelevalveasutustel on oma kohustuste täitmiseks kõik vajalikud volitused, sealhulgas volitused kontrollida, et pakkumise osapooled järgivad käesoleva direktiivi põhjal välja antud ja kehtestatud eeskirju.</w:t>
          </w:r>
        </w:p>
      </w:sdtContent>
    </w:sdt>
    <w:sdt>
      <w:sdtPr>
        <w:alias w:val=""/>
        <w:tag w:val="ccTag33"/>
        <w:id w:val="33"/>
      </w:sdtPr>
      <w:sdtEndPr/>
      <w:sdtContent>
        <w:p w14:paraId="4D5E949F" w14:textId="77777777" w:rsidR="00BF0E9A" w:rsidRPr="00846D93" w:rsidRDefault="00BF0E9A" w:rsidP="00BF0E9A">
          <w:pPr>
            <w:pStyle w:val="02AlineaAltA"/>
          </w:pPr>
          <w:r>
            <w:t>Tingimusel, et järgitakse artikli 3 lõikes 1 sätestatud üldpõhimõtteid, võivad liikmesriigid oma käesoleva direktiivi põhjal välja antavates või kehtestatavates eeskirjades võimaldada erandeid kõnealustest eeskirjadest:</w:t>
          </w:r>
        </w:p>
      </w:sdtContent>
    </w:sdt>
    <w:sdt>
      <w:sdtPr>
        <w:alias w:val=""/>
        <w:tag w:val="ccTag34"/>
        <w:id w:val="34"/>
      </w:sdtPr>
      <w:sdtEndPr/>
      <w:sdtContent>
        <w:p w14:paraId="40787D97" w14:textId="77777777" w:rsidR="00BF0E9A" w:rsidRPr="00846D93" w:rsidRDefault="00BF0E9A" w:rsidP="006C6A7B">
          <w:pPr>
            <w:pStyle w:val="09Marge0avecretrait"/>
          </w:pPr>
          <w:r>
            <w:t>i)</w:t>
          </w:r>
          <w:r>
            <w:tab/>
            <w:t>lisades sellised erandid oma siseriiklikesse eeskirjadesse, et võtta arvesse siseriiklikul tasandil määratletavad asjaolud</w:t>
          </w:r>
        </w:p>
      </w:sdtContent>
    </w:sdt>
    <w:sdt>
      <w:sdtPr>
        <w:alias w:val=""/>
        <w:tag w:val="ccTag35"/>
        <w:id w:val="35"/>
      </w:sdtPr>
      <w:sdtEndPr/>
      <w:sdtContent>
        <w:p w14:paraId="6976DDEC" w14:textId="77777777" w:rsidR="006C6A7B" w:rsidRPr="00846D93" w:rsidRDefault="006C6A7B" w:rsidP="006C6A7B">
          <w:pPr>
            <w:pStyle w:val="10Marge1"/>
          </w:pPr>
          <w:r>
            <w:t>ja/või</w:t>
          </w:r>
        </w:p>
      </w:sdtContent>
    </w:sdt>
    <w:sdt>
      <w:sdtPr>
        <w:alias w:val=""/>
        <w:tag w:val="ccTag36"/>
        <w:id w:val="36"/>
      </w:sdtPr>
      <w:sdtEndPr/>
      <w:sdtContent>
        <w:p w14:paraId="102C9F4C" w14:textId="77777777" w:rsidR="006C6A7B" w:rsidRPr="00846D93" w:rsidRDefault="006C6A7B" w:rsidP="006C6A7B">
          <w:pPr>
            <w:pStyle w:val="09Marge0avecretrait"/>
          </w:pPr>
          <w:r>
            <w:t>ii)</w:t>
          </w:r>
          <w:r>
            <w:tab/>
            <w:t>andes riigi järelevalveasutustele vastavalt nende pädevusele volituse teha erandeid siseriiklikest eeskirjadest, võtmaks arvesse punktis i nimetatud või muid erilisi asjaolusid; viimasel juhul on vajalik põhjendatud otsus.“</w:t>
          </w:r>
        </w:p>
      </w:sdtContent>
    </w:sdt>
    <w:sdt>
      <w:sdtPr>
        <w:alias w:val=""/>
        <w:tag w:val="ccTag37"/>
        <w:id w:val="37"/>
      </w:sdtPr>
      <w:sdtEndPr/>
      <w:sdtContent>
        <w:p w14:paraId="1AE7E40E" w14:textId="77777777" w:rsidR="003D0AE4" w:rsidRPr="00846D93" w:rsidRDefault="003D0AE4" w:rsidP="003D0AE4">
          <w:pPr>
            <w:pStyle w:val="01PointAltN"/>
          </w:pPr>
          <w:r>
            <w:t>Direktiivi 2004/25 artikkel 5 („Vähemusaktsionäride kaitse, kohustuslik pakkumine ja õiglane hind“) sätestab:</w:t>
          </w:r>
        </w:p>
      </w:sdtContent>
    </w:sdt>
    <w:sdt>
      <w:sdtPr>
        <w:alias w:val=""/>
        <w:tag w:val="ccTag38"/>
        <w:id w:val="38"/>
      </w:sdtPr>
      <w:sdtEndPr/>
      <w:sdtContent>
        <w:p w14:paraId="4D249E77" w14:textId="77777777" w:rsidR="007649FB" w:rsidRPr="00846D93" w:rsidRDefault="007649FB" w:rsidP="007649FB">
          <w:pPr>
            <w:pStyle w:val="02AlineaAltA"/>
          </w:pPr>
          <w:r>
            <w:t>„1.</w:t>
          </w:r>
          <w:r>
            <w:tab/>
            <w:t>Kui füüsiline või juriidiline isik üksi või koos temaga kooskõlas tegutsevate isikutega on omandanud artikli 1 lõikes 1 nimetatud ettevõtte väärtpabereid, mis koos tema ja temaga kooskõlas tegutsevate isikute varasema osalusega annavad talle kõnealuses ettevõttes otseselt või kaudselt kindlaksmääratud hääleõiguste protsendi, mis tagab talle kontrolli kõnealuse ettevõtte üle, tagavad liikmesriigid, et sellisel isikul on kohustus teha pakkumine, mis on kõnealuse ettevõtte vähemusaktsionäre kaitsvaks meetmeks. Pakkumine tuleb võimalikult kiiresti saata kõigile asjaomaste väärtpaberite omanikele ja selles tuleb pakkuda nende kõigi väärtpaberite ostmist lõikes 4 nimetatud õiglase hinnaga.</w:t>
          </w:r>
        </w:p>
      </w:sdtContent>
    </w:sdt>
    <w:sdt>
      <w:sdtPr>
        <w:alias w:val=""/>
        <w:tag w:val="ccTag39"/>
        <w:id w:val="39"/>
      </w:sdtPr>
      <w:sdtEndPr/>
      <w:sdtContent>
        <w:p w14:paraId="10E0099C" w14:textId="77777777" w:rsidR="003D0AE4" w:rsidRPr="00846D93" w:rsidRDefault="003D0AE4" w:rsidP="003D0AE4">
          <w:pPr>
            <w:pStyle w:val="09Marge0avecretrait"/>
          </w:pPr>
          <w:r>
            <w:t>[…]</w:t>
          </w:r>
        </w:p>
      </w:sdtContent>
    </w:sdt>
    <w:sdt>
      <w:sdtPr>
        <w:alias w:val=""/>
        <w:tag w:val="ccTag40"/>
        <w:id w:val="40"/>
      </w:sdtPr>
      <w:sdtEndPr/>
      <w:sdtContent>
        <w:p w14:paraId="7DDD58FF" w14:textId="77777777" w:rsidR="003D0AE4" w:rsidRPr="00846D93" w:rsidRDefault="003D0AE4" w:rsidP="007649FB">
          <w:pPr>
            <w:pStyle w:val="02AlineaAltA"/>
          </w:pPr>
          <w:r>
            <w:t>4.</w:t>
          </w:r>
          <w:r>
            <w:tab/>
            <w:t>Õiglaseks hinnaks loetakse kõrgeimat hinda, mida pakkumise tegija või temaga kooskõlas tegutsevad isikud on maksnud samade väärtpaberite eest lõikes 1 sätestatud pakkumisele eelnenud minimaalselt kuue- ja maksimaalselt 12-kuulise ajavahemiku jooksul, mille täpse kestuse määravad kindlaks liikmesriigid. Kui pakkumise tegija või temaga kooskõlas tegutsev isik omandab väärtpabereid pärast pakkumise avalikustamist ja enne pakkumise vastuvõtmise tähtaja möödumist pakkumishinnast kõrgema hinnaga, peab pakkumise tegija suurendama oma pakkumist nii, et pakkumishind ei oleks väiksem kui niiviisi omandatud väärtpaberite eest makstud kõrgeim hind.</w:t>
          </w:r>
        </w:p>
      </w:sdtContent>
    </w:sdt>
    <w:sdt>
      <w:sdtPr>
        <w:alias w:val=""/>
        <w:tag w:val="ccTag41"/>
        <w:id w:val="41"/>
      </w:sdtPr>
      <w:sdtEndPr/>
      <w:sdtContent>
        <w:p w14:paraId="2FAC18BD" w14:textId="77777777" w:rsidR="003D0AE4" w:rsidRPr="00846D93" w:rsidRDefault="003D0AE4" w:rsidP="007649FB">
          <w:pPr>
            <w:pStyle w:val="02AlineaAltA"/>
          </w:pPr>
          <w:r>
            <w:t xml:space="preserve">Tingimusel, et järgitakse artikli 3 lõikes 1 sätestatud üldpõhimõtteid, võivad liikmesriigid anda järelevalveasutustele volituse kohandada esimeses lõigus osutatud hinda selgesti määratletud asjaolude ja kriteeriumide alusel. Selleks võivad liikmesriigid koostada nimekirja tingimustest, mille korral kõrgeimat hinda võib kas tõsta või alandada, näiteks kui kõrgeima hinna suhtes on kokku lepitud ostja ja müüja vahelise lepinguga või kui asjaomaste väärtpaberite turuhindadega on </w:t>
          </w:r>
          <w:r>
            <w:lastRenderedPageBreak/>
            <w:t>manipuleeritud või kui erandlikud sündmused on mõjutanud üldisi või teatud turuhindu või kui on tegemist majanduslikes raskustes oleva ettevõtte päästmisega. Liikmesriigid võivad ka määrata sellistel juhtudel kohaldatavad kriteeriumid, milleks võib näiteks olla teatud perioodi keskmine turuhind, ettevõtte likvideerimisväärtus või muud finantsanalüüsil üldiselt kasutatavad objektiivsed kriteeriumid.</w:t>
          </w:r>
        </w:p>
      </w:sdtContent>
    </w:sdt>
    <w:sdt>
      <w:sdtPr>
        <w:alias w:val=""/>
        <w:tag w:val="ccTag42"/>
        <w:id w:val="42"/>
      </w:sdtPr>
      <w:sdtEndPr/>
      <w:sdtContent>
        <w:p w14:paraId="783DC5ED" w14:textId="77777777" w:rsidR="003D0AE4" w:rsidRPr="00846D93" w:rsidRDefault="003D0AE4" w:rsidP="007649FB">
          <w:pPr>
            <w:pStyle w:val="02AlineaAltA"/>
          </w:pPr>
          <w:r>
            <w:t>Järelevalveasutuse otsusele õiglase hinna kohandamise kohta lisatakse põhjendused ja otsus avalikustatakse.</w:t>
          </w:r>
        </w:p>
      </w:sdtContent>
    </w:sdt>
    <w:sdt>
      <w:sdtPr>
        <w:alias w:val=""/>
        <w:tag w:val="ccTag43"/>
        <w:id w:val="43"/>
      </w:sdtPr>
      <w:sdtEndPr/>
      <w:sdtContent>
        <w:p w14:paraId="74DF08EF" w14:textId="77777777" w:rsidR="003D0AE4" w:rsidRPr="00846D93" w:rsidRDefault="003D0AE4" w:rsidP="003D0AE4">
          <w:pPr>
            <w:pStyle w:val="09Marge0avecretrait"/>
          </w:pPr>
          <w:r>
            <w:t>[…]“</w:t>
          </w:r>
        </w:p>
      </w:sdtContent>
    </w:sdt>
    <w:sdt>
      <w:sdtPr>
        <w:alias w:val=""/>
        <w:tag w:val="ccTag44"/>
        <w:id w:val="44"/>
      </w:sdtPr>
      <w:sdtEndPr/>
      <w:sdtContent>
        <w:p w14:paraId="2B66B222" w14:textId="77777777" w:rsidR="00992BF1" w:rsidRPr="00846D93" w:rsidRDefault="00992BF1" w:rsidP="00992BF1">
          <w:pPr>
            <w:pStyle w:val="22Titrenumerote2"/>
          </w:pPr>
          <w:r>
            <w:t>Itaalia õigus</w:t>
          </w:r>
        </w:p>
      </w:sdtContent>
    </w:sdt>
    <w:sdt>
      <w:sdtPr>
        <w:alias w:val=""/>
        <w:tag w:val="ccTag45"/>
        <w:id w:val="45"/>
      </w:sdtPr>
      <w:sdtEndPr/>
      <w:sdtContent>
        <w:p w14:paraId="1DCC9F31" w14:textId="77777777" w:rsidR="00327555" w:rsidRPr="00846D93" w:rsidRDefault="00811C15" w:rsidP="00851662">
          <w:pPr>
            <w:pStyle w:val="01PointAltN"/>
          </w:pPr>
          <w:r>
            <w:t xml:space="preserve">The </w:t>
          </w:r>
          <w:proofErr w:type="spellStart"/>
          <w:r>
            <w:t>decreto</w:t>
          </w:r>
          <w:proofErr w:type="spellEnd"/>
          <w:r>
            <w:t xml:space="preserve"> </w:t>
          </w:r>
          <w:proofErr w:type="spellStart"/>
          <w:r>
            <w:t>legislativo</w:t>
          </w:r>
          <w:proofErr w:type="spellEnd"/>
          <w:r>
            <w:t xml:space="preserve"> 24 </w:t>
          </w:r>
          <w:proofErr w:type="spellStart"/>
          <w:r>
            <w:t>febbraio</w:t>
          </w:r>
          <w:proofErr w:type="spellEnd"/>
          <w:r>
            <w:t xml:space="preserve"> 1998, n. 58. </w:t>
          </w:r>
          <w:proofErr w:type="spellStart"/>
          <w:r>
            <w:t>Testo</w:t>
          </w:r>
          <w:proofErr w:type="spellEnd"/>
          <w:r>
            <w:t xml:space="preserve"> </w:t>
          </w:r>
          <w:proofErr w:type="spellStart"/>
          <w:r>
            <w:t>unico</w:t>
          </w:r>
          <w:proofErr w:type="spellEnd"/>
          <w:r>
            <w:t xml:space="preserve"> </w:t>
          </w:r>
          <w:proofErr w:type="spellStart"/>
          <w:r>
            <w:t>delle</w:t>
          </w:r>
          <w:proofErr w:type="spellEnd"/>
          <w:r>
            <w:t xml:space="preserve"> </w:t>
          </w:r>
          <w:proofErr w:type="spellStart"/>
          <w:r>
            <w:t>disposizioni</w:t>
          </w:r>
          <w:proofErr w:type="spellEnd"/>
          <w:r>
            <w:t xml:space="preserve"> in </w:t>
          </w:r>
          <w:proofErr w:type="spellStart"/>
          <w:r>
            <w:t>materia</w:t>
          </w:r>
          <w:proofErr w:type="spellEnd"/>
          <w:r>
            <w:t xml:space="preserve"> di </w:t>
          </w:r>
          <w:proofErr w:type="spellStart"/>
          <w:r>
            <w:t>intermediazione</w:t>
          </w:r>
          <w:proofErr w:type="spellEnd"/>
          <w:r>
            <w:t xml:space="preserve"> </w:t>
          </w:r>
          <w:proofErr w:type="spellStart"/>
          <w:r>
            <w:t>finanziaria</w:t>
          </w:r>
          <w:proofErr w:type="spellEnd"/>
          <w:r>
            <w:t xml:space="preserve">, ai </w:t>
          </w:r>
          <w:proofErr w:type="spellStart"/>
          <w:r>
            <w:t>sensi</w:t>
          </w:r>
          <w:proofErr w:type="spellEnd"/>
          <w:r>
            <w:t xml:space="preserve"> </w:t>
          </w:r>
          <w:proofErr w:type="spellStart"/>
          <w:r>
            <w:t>degli</w:t>
          </w:r>
          <w:proofErr w:type="spellEnd"/>
          <w:r>
            <w:t xml:space="preserve"> </w:t>
          </w:r>
          <w:proofErr w:type="spellStart"/>
          <w:r>
            <w:t>articoli</w:t>
          </w:r>
          <w:proofErr w:type="spellEnd"/>
          <w:r>
            <w:t xml:space="preserve"> 8 e 21 </w:t>
          </w:r>
          <w:proofErr w:type="spellStart"/>
          <w:r>
            <w:t>della</w:t>
          </w:r>
          <w:proofErr w:type="spellEnd"/>
          <w:r>
            <w:t xml:space="preserve"> </w:t>
          </w:r>
          <w:proofErr w:type="spellStart"/>
          <w:r>
            <w:t>legge</w:t>
          </w:r>
          <w:proofErr w:type="spellEnd"/>
          <w:r>
            <w:t xml:space="preserve"> 6 </w:t>
          </w:r>
          <w:proofErr w:type="spellStart"/>
          <w:r>
            <w:t>febbraio</w:t>
          </w:r>
          <w:proofErr w:type="spellEnd"/>
          <w:r>
            <w:t xml:space="preserve"> 1996, n. 52 (</w:t>
          </w:r>
          <w:commentRangeStart w:id="0"/>
          <w:r>
            <w:t>24. veebruari 1998. aasta seadusandlik dekreet nr 58 (Finantsvahenduse alaste normide konsolideeritud redaktsioon vastavalt 6. veebruari 1996. aasta seaduse nr 52 artiklitele 8 ja 21) muudatustega arvestav redaktsioon</w:t>
          </w:r>
          <w:commentRangeEnd w:id="0"/>
          <w:r>
            <w:rPr>
              <w:rStyle w:val="CommentReference"/>
            </w:rPr>
            <w:commentReference w:id="0"/>
          </w:r>
          <w:r>
            <w:t>),</w:t>
          </w:r>
          <w:r w:rsidR="00DB2247" w:rsidRPr="00846D93">
            <w:rPr>
              <w:rStyle w:val="FootnoteReference"/>
              <w:lang w:val="en-GB"/>
            </w:rPr>
            <w:footnoteReference w:id="3"/>
          </w:r>
          <w:r>
            <w:t xml:space="preserve"> muudetud (edaspidi „seadusandlik dekreet nr 58/1998“) sisaldab direktiivi 2004/25 rakendavaid sätteid. Selle artikkel 106 („Kõiki aktsiaid puudutav ülevõtmispakkumine“) sätestab:</w:t>
          </w:r>
        </w:p>
      </w:sdtContent>
    </w:sdt>
    <w:sdt>
      <w:sdtPr>
        <w:alias w:val=""/>
        <w:tag w:val="ccTag46"/>
        <w:id w:val="46"/>
      </w:sdtPr>
      <w:sdtEndPr/>
      <w:sdtContent>
        <w:p w14:paraId="4E03D04D" w14:textId="77777777" w:rsidR="00327555" w:rsidRPr="00846D93" w:rsidRDefault="007649FB" w:rsidP="00327555">
          <w:pPr>
            <w:pStyle w:val="02AlineaAltA"/>
          </w:pPr>
          <w:r>
            <w:t xml:space="preserve">„3. </w:t>
          </w:r>
          <w:r>
            <w:tab/>
          </w:r>
          <w:proofErr w:type="spellStart"/>
          <w:r>
            <w:t>Consob</w:t>
          </w:r>
          <w:proofErr w:type="spellEnd"/>
          <w:r>
            <w:t xml:space="preserve"> reguleerib määrusega juhtusid, mil:</w:t>
          </w:r>
        </w:p>
      </w:sdtContent>
    </w:sdt>
    <w:sdt>
      <w:sdtPr>
        <w:alias w:val=""/>
        <w:tag w:val="ccTag47"/>
        <w:id w:val="47"/>
      </w:sdtPr>
      <w:sdtEndPr/>
      <w:sdtContent>
        <w:p w14:paraId="035AE7FA" w14:textId="77777777" w:rsidR="00327555" w:rsidRPr="00846D93" w:rsidRDefault="00327555" w:rsidP="00327555">
          <w:pPr>
            <w:pStyle w:val="09Marge0avecretrait"/>
          </w:pPr>
          <w:r>
            <w:t>d)</w:t>
          </w:r>
          <w:r>
            <w:tab/>
            <w:t xml:space="preserve">pakkumine toimub pärast </w:t>
          </w:r>
          <w:proofErr w:type="spellStart"/>
          <w:r>
            <w:t>Consobi</w:t>
          </w:r>
          <w:proofErr w:type="spellEnd"/>
          <w:r>
            <w:t xml:space="preserve"> põhjendatud otsust kõrgema hinnaga kui kõrgeim tasutud hind, kui määruse andmine on investorite kaitsmiseks vajalik ja kui esineb vähemalt üks järgmistest asjaoludest:</w:t>
          </w:r>
        </w:p>
      </w:sdtContent>
    </w:sdt>
    <w:sdt>
      <w:sdtPr>
        <w:alias w:val=""/>
        <w:tag w:val="ccTag48"/>
        <w:id w:val="48"/>
      </w:sdtPr>
      <w:sdtEndPr/>
      <w:sdtContent>
        <w:p w14:paraId="518218AB" w14:textId="77777777" w:rsidR="00327555" w:rsidRPr="00846D93" w:rsidRDefault="00327555" w:rsidP="00327555">
          <w:pPr>
            <w:pStyle w:val="11Marge1avecretrait"/>
          </w:pPr>
          <w:r>
            <w:t>[…]</w:t>
          </w:r>
        </w:p>
      </w:sdtContent>
    </w:sdt>
    <w:sdt>
      <w:sdtPr>
        <w:alias w:val=""/>
        <w:tag w:val="ccTag49"/>
        <w:id w:val="49"/>
      </w:sdtPr>
      <w:sdtEndPr/>
      <w:sdtContent>
        <w:p w14:paraId="06F93077" w14:textId="77777777" w:rsidR="00327555" w:rsidRPr="00846D93" w:rsidRDefault="00327555" w:rsidP="00327555">
          <w:pPr>
            <w:pStyle w:val="11Marge1avecretrait"/>
          </w:pPr>
          <w:r>
            <w:t>2)</w:t>
          </w:r>
          <w:r>
            <w:tab/>
            <w:t>on sõlmitud sobing ülevõtja või temaga kooskõlastatult tegutsevate isikute ja ühe või mitme müüja vahel.“</w:t>
          </w:r>
        </w:p>
      </w:sdtContent>
    </w:sdt>
    <w:sdt>
      <w:sdtPr>
        <w:alias w:val=""/>
        <w:tag w:val="ccTag50"/>
        <w:id w:val="50"/>
      </w:sdtPr>
      <w:sdtEndPr/>
      <w:sdtContent>
        <w:p w14:paraId="20C4FEA1" w14:textId="77777777" w:rsidR="00327555" w:rsidRPr="00846D93" w:rsidRDefault="007649FB" w:rsidP="004A4298">
          <w:pPr>
            <w:pStyle w:val="01PointAltN"/>
          </w:pPr>
          <w:r>
            <w:t xml:space="preserve">14. mail 1999 võttis </w:t>
          </w:r>
          <w:proofErr w:type="spellStart"/>
          <w:r>
            <w:t>Consob</w:t>
          </w:r>
          <w:proofErr w:type="spellEnd"/>
          <w:r>
            <w:t xml:space="preserve"> vastu otsuse, millega võeti vastu </w:t>
          </w:r>
          <w:proofErr w:type="spellStart"/>
          <w:r>
            <w:t>Regolamento</w:t>
          </w:r>
          <w:proofErr w:type="spellEnd"/>
          <w:r>
            <w:t xml:space="preserve"> di </w:t>
          </w:r>
          <w:proofErr w:type="spellStart"/>
          <w:r>
            <w:t>attuazione</w:t>
          </w:r>
          <w:proofErr w:type="spellEnd"/>
          <w:r>
            <w:t xml:space="preserve"> </w:t>
          </w:r>
          <w:proofErr w:type="spellStart"/>
          <w:r>
            <w:t>del</w:t>
          </w:r>
          <w:proofErr w:type="spellEnd"/>
          <w:r>
            <w:t xml:space="preserve"> </w:t>
          </w:r>
          <w:proofErr w:type="spellStart"/>
          <w:r>
            <w:t>decreto</w:t>
          </w:r>
          <w:proofErr w:type="spellEnd"/>
          <w:r>
            <w:t xml:space="preserve"> </w:t>
          </w:r>
          <w:proofErr w:type="spellStart"/>
          <w:r>
            <w:t>legislativo</w:t>
          </w:r>
          <w:proofErr w:type="spellEnd"/>
          <w:r>
            <w:t xml:space="preserve"> 24 </w:t>
          </w:r>
          <w:proofErr w:type="spellStart"/>
          <w:r>
            <w:t>febbraio</w:t>
          </w:r>
          <w:proofErr w:type="spellEnd"/>
          <w:r>
            <w:t xml:space="preserve"> 1998, n. 58, </w:t>
          </w:r>
          <w:proofErr w:type="spellStart"/>
          <w:r>
            <w:t>concernente</w:t>
          </w:r>
          <w:proofErr w:type="spellEnd"/>
          <w:r>
            <w:t xml:space="preserve"> la </w:t>
          </w:r>
          <w:proofErr w:type="spellStart"/>
          <w:r>
            <w:t>disciplina</w:t>
          </w:r>
          <w:proofErr w:type="spellEnd"/>
          <w:r>
            <w:t xml:space="preserve"> </w:t>
          </w:r>
          <w:proofErr w:type="spellStart"/>
          <w:r>
            <w:t>degli</w:t>
          </w:r>
          <w:proofErr w:type="spellEnd"/>
          <w:r>
            <w:t xml:space="preserve"> </w:t>
          </w:r>
          <w:proofErr w:type="spellStart"/>
          <w:r>
            <w:t>emittenti</w:t>
          </w:r>
          <w:proofErr w:type="spellEnd"/>
          <w:r>
            <w:t xml:space="preserve"> (24. veebruari 1998. aasta seadusandliku dekreedi nr 58 rakendusmäärus emitente puudutava korra kohta),</w:t>
          </w:r>
          <w:r w:rsidR="00124FFB" w:rsidRPr="00846D93">
            <w:rPr>
              <w:rStyle w:val="FootnoteReference"/>
              <w:lang w:val="en-GB"/>
            </w:rPr>
            <w:footnoteReference w:id="4"/>
          </w:r>
          <w:r>
            <w:t xml:space="preserve"> muudetud (edaspidi „rakendusmäärus“). Selle artikkel 47 </w:t>
          </w:r>
          <w:proofErr w:type="spellStart"/>
          <w:r>
            <w:rPr>
              <w:i/>
            </w:rPr>
            <w:t>octies</w:t>
          </w:r>
          <w:proofErr w:type="spellEnd"/>
          <w:r>
            <w:t xml:space="preserve"> („Hinna tõstmine sobingu korral“) sätestab:</w:t>
          </w:r>
        </w:p>
      </w:sdtContent>
    </w:sdt>
    <w:sdt>
      <w:sdtPr>
        <w:alias w:val=""/>
        <w:tag w:val="ccTag51"/>
        <w:id w:val="51"/>
      </w:sdtPr>
      <w:sdtEndPr/>
      <w:sdtContent>
        <w:p w14:paraId="40691F36" w14:textId="77777777" w:rsidR="00C86A2A" w:rsidRPr="00846D93" w:rsidRDefault="007649FB" w:rsidP="00C86A2A">
          <w:pPr>
            <w:pStyle w:val="02AlineaAltA"/>
          </w:pPr>
          <w:r>
            <w:t xml:space="preserve">„1. </w:t>
          </w:r>
          <w:r>
            <w:tab/>
          </w:r>
          <w:proofErr w:type="spellStart"/>
          <w:r>
            <w:t>Consob</w:t>
          </w:r>
          <w:proofErr w:type="spellEnd"/>
          <w:r>
            <w:t xml:space="preserve"> tõstab [seadusandliku dekreedi nr 58/1998] artikli 106 lõike 3 punkti d alapunkti 2 alusel hinda, kui ülevõtja või temaga kooskõlastatult tegutsevate isikute ja ühe või mitme müüja vahel tuvastatud sobingust tulenevalt </w:t>
          </w:r>
          <w:r>
            <w:lastRenderedPageBreak/>
            <w:t>arvestatakse suurema summaga kui ülevõtja avaldatud hind. Sel juhul on pakkumise hind see tuvastatud hind“.</w:t>
          </w:r>
        </w:p>
      </w:sdtContent>
    </w:sdt>
    <w:sdt>
      <w:sdtPr>
        <w:alias w:val=""/>
        <w:tag w:val="ccTag52"/>
        <w:id w:val="52"/>
      </w:sdtPr>
      <w:sdtEndPr/>
      <w:sdtContent>
        <w:p w14:paraId="1BDF215A" w14:textId="77777777" w:rsidR="00992BF1" w:rsidRPr="00846D93" w:rsidRDefault="00992BF1" w:rsidP="00992BF1">
          <w:pPr>
            <w:pStyle w:val="21Titrenumerote1"/>
          </w:pPr>
          <w:r>
            <w:t>Asjaolud, menetlus ja eelotsuse küsimus</w:t>
          </w:r>
        </w:p>
      </w:sdtContent>
    </w:sdt>
    <w:sdt>
      <w:sdtPr>
        <w:alias w:val=""/>
        <w:tag w:val="ccTag53"/>
        <w:id w:val="53"/>
      </w:sdtPr>
      <w:sdtEndPr/>
      <w:sdtContent>
        <w:p w14:paraId="5A0F3F27" w14:textId="77777777" w:rsidR="001C454A" w:rsidRPr="00846D93" w:rsidRDefault="001C454A" w:rsidP="001C454A">
          <w:pPr>
            <w:pStyle w:val="01PointAltN"/>
          </w:pPr>
          <w:r>
            <w:t xml:space="preserve">17. mail 2013 asutas Marco </w:t>
          </w:r>
          <w:proofErr w:type="spellStart"/>
          <w:r>
            <w:t>Tronchetti</w:t>
          </w:r>
          <w:proofErr w:type="spellEnd"/>
          <w:r>
            <w:t xml:space="preserve"> </w:t>
          </w:r>
          <w:proofErr w:type="spellStart"/>
          <w:r>
            <w:t>Provera</w:t>
          </w:r>
          <w:proofErr w:type="spellEnd"/>
          <w:r>
            <w:t xml:space="preserve"> </w:t>
          </w:r>
          <w:proofErr w:type="spellStart"/>
          <w:r>
            <w:t>SpA</w:t>
          </w:r>
          <w:proofErr w:type="spellEnd"/>
          <w:r>
            <w:t xml:space="preserve"> (edaspidi „MTP“) – äriühing, mille peamine aktsionär on Marco </w:t>
          </w:r>
          <w:proofErr w:type="spellStart"/>
          <w:r>
            <w:t>Tronchetti</w:t>
          </w:r>
          <w:proofErr w:type="spellEnd"/>
          <w:r>
            <w:t xml:space="preserve"> </w:t>
          </w:r>
          <w:proofErr w:type="spellStart"/>
          <w:r>
            <w:t>Provera</w:t>
          </w:r>
          <w:proofErr w:type="spellEnd"/>
          <w:r>
            <w:t xml:space="preserve"> – oma kontrolli all olevate äriühingute kaudu ja koostöös teistega äriühingu </w:t>
          </w:r>
          <w:proofErr w:type="spellStart"/>
          <w:r>
            <w:t>Lauro</w:t>
          </w:r>
          <w:proofErr w:type="spellEnd"/>
          <w:r>
            <w:t xml:space="preserve"> </w:t>
          </w:r>
          <w:proofErr w:type="spellStart"/>
          <w:r>
            <w:t>Sessantuno</w:t>
          </w:r>
          <w:proofErr w:type="spellEnd"/>
          <w:r>
            <w:t xml:space="preserve"> </w:t>
          </w:r>
          <w:proofErr w:type="spellStart"/>
          <w:r>
            <w:t>SpA</w:t>
          </w:r>
          <w:proofErr w:type="spellEnd"/>
          <w:r>
            <w:t xml:space="preserve"> (edaspidi „</w:t>
          </w:r>
          <w:proofErr w:type="spellStart"/>
          <w:r>
            <w:t>Lauro</w:t>
          </w:r>
          <w:proofErr w:type="spellEnd"/>
          <w:r>
            <w:t xml:space="preserve"> 61“). </w:t>
          </w:r>
        </w:p>
      </w:sdtContent>
    </w:sdt>
    <w:sdt>
      <w:sdtPr>
        <w:alias w:val=""/>
        <w:tag w:val="ccTag54"/>
        <w:id w:val="54"/>
      </w:sdtPr>
      <w:sdtEndPr/>
      <w:sdtContent>
        <w:p w14:paraId="15F6A39F" w14:textId="77777777" w:rsidR="001C454A" w:rsidRPr="00846D93" w:rsidRDefault="001C454A" w:rsidP="001C454A">
          <w:pPr>
            <w:pStyle w:val="01PointAltN"/>
          </w:pPr>
          <w:r>
            <w:t xml:space="preserve">5. juunil 2013 esitas </w:t>
          </w:r>
          <w:proofErr w:type="spellStart"/>
          <w:r>
            <w:t>Lauro</w:t>
          </w:r>
          <w:proofErr w:type="spellEnd"/>
          <w:r>
            <w:t xml:space="preserve"> 61 turule ülevõtmispakkumise kõigi </w:t>
          </w:r>
          <w:proofErr w:type="spellStart"/>
          <w:r>
            <w:t>Camfin</w:t>
          </w:r>
          <w:proofErr w:type="spellEnd"/>
          <w:r>
            <w:t> </w:t>
          </w:r>
          <w:proofErr w:type="spellStart"/>
          <w:r>
            <w:t>SpA</w:t>
          </w:r>
          <w:proofErr w:type="spellEnd"/>
          <w:r>
            <w:t xml:space="preserve"> (edaspidi „emitent“) aktsiate ostmiseks ühikuhinnaga 0,80 eurot aktsia eest, mis oli kindlaks määratud lähtuvalt sama aktsia turuhinnast eelnenud kaheteistkümnel kuul.</w:t>
          </w:r>
        </w:p>
      </w:sdtContent>
    </w:sdt>
    <w:sdt>
      <w:sdtPr>
        <w:alias w:val=""/>
        <w:tag w:val="ccTag55"/>
        <w:id w:val="55"/>
      </w:sdtPr>
      <w:sdtEndPr/>
      <w:sdtContent>
        <w:p w14:paraId="31EFC62E" w14:textId="77777777" w:rsidR="001C454A" w:rsidRPr="00846D93" w:rsidRDefault="001C454A" w:rsidP="001C454A">
          <w:pPr>
            <w:pStyle w:val="01PointAltN"/>
          </w:pPr>
          <w:r>
            <w:t xml:space="preserve">Kohustusliku ülevõtmispakkumise tegemise ajal kuulus </w:t>
          </w:r>
          <w:proofErr w:type="spellStart"/>
          <w:r>
            <w:t>Camfinile</w:t>
          </w:r>
          <w:proofErr w:type="spellEnd"/>
          <w:r>
            <w:t xml:space="preserve"> otseselt ja kaudselt 26,19% </w:t>
          </w:r>
          <w:proofErr w:type="spellStart"/>
          <w:r>
            <w:t>Pirelli</w:t>
          </w:r>
          <w:proofErr w:type="spellEnd"/>
          <w:r>
            <w:t> &amp; C. </w:t>
          </w:r>
          <w:proofErr w:type="spellStart"/>
          <w:r>
            <w:t>SpA</w:t>
          </w:r>
          <w:proofErr w:type="spellEnd"/>
          <w:r>
            <w:t xml:space="preserve"> (edaspidi „</w:t>
          </w:r>
          <w:proofErr w:type="spellStart"/>
          <w:r>
            <w:t>Pirelli</w:t>
          </w:r>
          <w:proofErr w:type="spellEnd"/>
          <w:r>
            <w:t xml:space="preserve">“) aktsiatest. </w:t>
          </w:r>
          <w:proofErr w:type="spellStart"/>
          <w:r>
            <w:t>Pirelli</w:t>
          </w:r>
          <w:proofErr w:type="spellEnd"/>
          <w:r>
            <w:t xml:space="preserve"> teatavad aktsionärid, nende hulgas </w:t>
          </w:r>
          <w:proofErr w:type="spellStart"/>
          <w:r>
            <w:t>Malacalza</w:t>
          </w:r>
          <w:proofErr w:type="spellEnd"/>
          <w:r>
            <w:t xml:space="preserve"> </w:t>
          </w:r>
          <w:proofErr w:type="spellStart"/>
          <w:r>
            <w:t>Investimenti</w:t>
          </w:r>
          <w:proofErr w:type="spellEnd"/>
          <w:r>
            <w:t xml:space="preserve"> </w:t>
          </w:r>
          <w:proofErr w:type="spellStart"/>
          <w:r>
            <w:t>srl</w:t>
          </w:r>
          <w:proofErr w:type="spellEnd"/>
          <w:r>
            <w:t xml:space="preserve"> (edaspidi „MCI“), MTP, </w:t>
          </w:r>
          <w:proofErr w:type="spellStart"/>
          <w:r>
            <w:t>Camfin</w:t>
          </w:r>
          <w:proofErr w:type="spellEnd"/>
          <w:r>
            <w:t xml:space="preserve">, </w:t>
          </w:r>
          <w:proofErr w:type="spellStart"/>
          <w:r>
            <w:t>Allianz</w:t>
          </w:r>
          <w:proofErr w:type="spellEnd"/>
          <w:r>
            <w:t xml:space="preserve"> </w:t>
          </w:r>
          <w:proofErr w:type="spellStart"/>
          <w:r>
            <w:t>SpA</w:t>
          </w:r>
          <w:proofErr w:type="spellEnd"/>
          <w:r>
            <w:t xml:space="preserve"> ja </w:t>
          </w:r>
          <w:proofErr w:type="spellStart"/>
          <w:r>
            <w:t>Fondiaria</w:t>
          </w:r>
          <w:proofErr w:type="spellEnd"/>
          <w:r>
            <w:t xml:space="preserve"> SAI </w:t>
          </w:r>
          <w:proofErr w:type="spellStart"/>
          <w:r>
            <w:t>SpA</w:t>
          </w:r>
          <w:proofErr w:type="spellEnd"/>
          <w:r>
            <w:t xml:space="preserve"> (edaspidi „</w:t>
          </w:r>
          <w:proofErr w:type="spellStart"/>
          <w:r>
            <w:t>FonSai</w:t>
          </w:r>
          <w:proofErr w:type="spellEnd"/>
          <w:r>
            <w:t>“), olid enne seda sõlminud nn lukustamiskokkuleppe (edaspidi „</w:t>
          </w:r>
          <w:proofErr w:type="spellStart"/>
          <w:r>
            <w:t>Pirelli</w:t>
          </w:r>
          <w:proofErr w:type="spellEnd"/>
          <w:r>
            <w:t xml:space="preserve"> kokkulepe“).</w:t>
          </w:r>
        </w:p>
      </w:sdtContent>
    </w:sdt>
    <w:sdt>
      <w:sdtPr>
        <w:alias w:val=""/>
        <w:tag w:val="ccTag56"/>
        <w:id w:val="56"/>
      </w:sdtPr>
      <w:sdtEndPr/>
      <w:sdtContent>
        <w:p w14:paraId="5692AE1F" w14:textId="77777777" w:rsidR="001C454A" w:rsidRPr="00846D93" w:rsidRDefault="00180956" w:rsidP="001C454A">
          <w:pPr>
            <w:pStyle w:val="01PointAltN"/>
          </w:pPr>
          <w:r>
            <w:t xml:space="preserve">MCI, kes on samuti </w:t>
          </w:r>
          <w:proofErr w:type="spellStart"/>
          <w:r>
            <w:t>Camfini</w:t>
          </w:r>
          <w:proofErr w:type="spellEnd"/>
          <w:r>
            <w:t xml:space="preserve"> aktsionär, nõustus </w:t>
          </w:r>
          <w:proofErr w:type="spellStart"/>
          <w:r>
            <w:t>Lauro</w:t>
          </w:r>
          <w:proofErr w:type="spellEnd"/>
          <w:r>
            <w:t xml:space="preserve"> 61 pakkumisega ja andis sellele eespool nimetatud hinnaga üle 12,37% </w:t>
          </w:r>
          <w:proofErr w:type="spellStart"/>
          <w:r>
            <w:t>Camfini</w:t>
          </w:r>
          <w:proofErr w:type="spellEnd"/>
          <w:r>
            <w:t xml:space="preserve"> aktsiakapitalist.</w:t>
          </w:r>
        </w:p>
      </w:sdtContent>
    </w:sdt>
    <w:sdt>
      <w:sdtPr>
        <w:alias w:val=""/>
        <w:tag w:val="ccTag57"/>
        <w:id w:val="57"/>
      </w:sdtPr>
      <w:sdtEndPr/>
      <w:sdtContent>
        <w:p w14:paraId="542ECC2E" w14:textId="77777777" w:rsidR="008041FE" w:rsidRPr="00846D93" w:rsidRDefault="00180956" w:rsidP="008041FE">
          <w:pPr>
            <w:pStyle w:val="01PointAltN"/>
          </w:pPr>
          <w:r>
            <w:t>Lisaks anti 5. juunil 2013 turule teada, et i) </w:t>
          </w:r>
          <w:proofErr w:type="spellStart"/>
          <w:r>
            <w:t>Lauro</w:t>
          </w:r>
          <w:proofErr w:type="spellEnd"/>
          <w:r>
            <w:t xml:space="preserve"> 61 on lõpetanud MTP ja MCI vahel </w:t>
          </w:r>
          <w:proofErr w:type="spellStart"/>
          <w:r>
            <w:t>Camfini</w:t>
          </w:r>
          <w:proofErr w:type="spellEnd"/>
          <w:r>
            <w:t xml:space="preserve"> kohta sõlmitud lepingud; ii) MCI on müünud oma </w:t>
          </w:r>
          <w:proofErr w:type="spellStart"/>
          <w:r>
            <w:t>Camfini</w:t>
          </w:r>
          <w:proofErr w:type="spellEnd"/>
          <w:r>
            <w:t xml:space="preserve"> aktsiad; iii) MCI on </w:t>
          </w:r>
          <w:proofErr w:type="spellStart"/>
          <w:r>
            <w:t>Allianzilt</w:t>
          </w:r>
          <w:proofErr w:type="spellEnd"/>
          <w:r>
            <w:t xml:space="preserve"> ja </w:t>
          </w:r>
          <w:proofErr w:type="spellStart"/>
          <w:r>
            <w:t>FonSailt</w:t>
          </w:r>
          <w:proofErr w:type="spellEnd"/>
          <w:r>
            <w:t xml:space="preserve"> ostnud 6,98% </w:t>
          </w:r>
          <w:proofErr w:type="spellStart"/>
          <w:r>
            <w:t>Pirelli</w:t>
          </w:r>
          <w:proofErr w:type="spellEnd"/>
          <w:r>
            <w:t xml:space="preserve"> aktsiatest hinnaga 7,80 eurot aktsia kohta; ja iv) </w:t>
          </w:r>
          <w:proofErr w:type="spellStart"/>
          <w:r>
            <w:t>Pirelli</w:t>
          </w:r>
          <w:proofErr w:type="spellEnd"/>
          <w:r>
            <w:t xml:space="preserve"> kokkuleppe pooled – kellest tähtsaim oli </w:t>
          </w:r>
          <w:proofErr w:type="spellStart"/>
          <w:r>
            <w:t>Tronchetti</w:t>
          </w:r>
          <w:proofErr w:type="spellEnd"/>
          <w:r>
            <w:t xml:space="preserve"> </w:t>
          </w:r>
          <w:proofErr w:type="spellStart"/>
          <w:r>
            <w:t>Provera</w:t>
          </w:r>
          <w:proofErr w:type="spellEnd"/>
          <w:r>
            <w:t xml:space="preserve"> – on </w:t>
          </w:r>
          <w:proofErr w:type="spellStart"/>
          <w:r>
            <w:t>Allianzile</w:t>
          </w:r>
          <w:proofErr w:type="spellEnd"/>
          <w:r>
            <w:t xml:space="preserve"> ja </w:t>
          </w:r>
          <w:proofErr w:type="spellStart"/>
          <w:r>
            <w:t>FonSaile</w:t>
          </w:r>
          <w:proofErr w:type="spellEnd"/>
          <w:r>
            <w:t xml:space="preserve"> andnud loa vabastada kokkuleppest kõik neile selle alusel kuuluvad aktsiad või osa neist (edaspidi „</w:t>
          </w:r>
          <w:proofErr w:type="spellStart"/>
          <w:r>
            <w:t>Pirelli</w:t>
          </w:r>
          <w:proofErr w:type="spellEnd"/>
          <w:r>
            <w:t xml:space="preserve"> aktsiad“).</w:t>
          </w:r>
        </w:p>
      </w:sdtContent>
    </w:sdt>
    <w:sdt>
      <w:sdtPr>
        <w:alias w:val=""/>
        <w:tag w:val="ccTag58"/>
        <w:id w:val="58"/>
      </w:sdtPr>
      <w:sdtEndPr/>
      <w:sdtContent>
        <w:p w14:paraId="225BD049" w14:textId="77777777" w:rsidR="00CE5204" w:rsidRPr="00846D93" w:rsidRDefault="00CE5204" w:rsidP="00CE5204">
          <w:pPr>
            <w:pStyle w:val="01PointAltN"/>
          </w:pPr>
          <w:r>
            <w:t xml:space="preserve">Ülevõtmine lõppes 11. oktoobril 2013 nii, et </w:t>
          </w:r>
          <w:proofErr w:type="spellStart"/>
          <w:r>
            <w:t>Lauro</w:t>
          </w:r>
          <w:proofErr w:type="spellEnd"/>
          <w:r>
            <w:t xml:space="preserve"> 61 oli kõigepealt omandanud 95,95% </w:t>
          </w:r>
          <w:proofErr w:type="spellStart"/>
          <w:r>
            <w:t>Camfini</w:t>
          </w:r>
          <w:proofErr w:type="spellEnd"/>
          <w:r>
            <w:t xml:space="preserve"> aktsiakapitalist ning seejärel kasutanud oma õigust omandada ülejäänud aktsiad, omandades niiviisi kogu </w:t>
          </w:r>
          <w:proofErr w:type="spellStart"/>
          <w:r>
            <w:t>Camfini</w:t>
          </w:r>
          <w:proofErr w:type="spellEnd"/>
          <w:r>
            <w:t xml:space="preserve"> aktsiakapitali, mispeale viimase aktsiate noteerimine lõpetati.</w:t>
          </w:r>
        </w:p>
      </w:sdtContent>
    </w:sdt>
    <w:sdt>
      <w:sdtPr>
        <w:alias w:val=""/>
        <w:tag w:val="ccTag59"/>
        <w:id w:val="59"/>
      </w:sdtPr>
      <w:sdtEndPr/>
      <w:sdtContent>
        <w:p w14:paraId="3752569D" w14:textId="77777777" w:rsidR="00CE5204" w:rsidRPr="00846D93" w:rsidRDefault="00CE5204" w:rsidP="00CE5204">
          <w:pPr>
            <w:pStyle w:val="01PointAltN"/>
          </w:pPr>
          <w:r>
            <w:t xml:space="preserve">Mõningate </w:t>
          </w:r>
          <w:proofErr w:type="spellStart"/>
          <w:r>
            <w:t>Camfini</w:t>
          </w:r>
          <w:proofErr w:type="spellEnd"/>
          <w:r>
            <w:t xml:space="preserve"> vähemusaktsionäride taotluse alusel algatas </w:t>
          </w:r>
          <w:proofErr w:type="spellStart"/>
          <w:r>
            <w:t>Consob</w:t>
          </w:r>
          <w:proofErr w:type="spellEnd"/>
          <w:r>
            <w:t xml:space="preserve"> 12. septembril 2013 kõnealuse ülevõtmispakkumise hinna tõstmise menetluse.</w:t>
          </w:r>
        </w:p>
      </w:sdtContent>
    </w:sdt>
    <w:sdt>
      <w:sdtPr>
        <w:alias w:val=""/>
        <w:tag w:val="ccTag60"/>
        <w:id w:val="60"/>
      </w:sdtPr>
      <w:sdtEndPr/>
      <w:sdtContent>
        <w:p w14:paraId="6CD1938F" w14:textId="77777777" w:rsidR="00CE5204" w:rsidRPr="00846D93" w:rsidRDefault="007D1D2B" w:rsidP="00CE5204">
          <w:pPr>
            <w:pStyle w:val="01PointAltN"/>
          </w:pPr>
          <w:r>
            <w:t xml:space="preserve">Olles jõudnud järeldusele, et kirjeldatud tehingud võimaldasid MCI-l saada </w:t>
          </w:r>
          <w:proofErr w:type="spellStart"/>
          <w:r>
            <w:t>Camfini</w:t>
          </w:r>
          <w:proofErr w:type="spellEnd"/>
          <w:r>
            <w:t xml:space="preserve"> aktsiate müügi eest kokku suurema summa kui 0,80 eurot ühe aktsia eest, leidis </w:t>
          </w:r>
          <w:proofErr w:type="spellStart"/>
          <w:r>
            <w:t>Consob</w:t>
          </w:r>
          <w:proofErr w:type="spellEnd"/>
          <w:r>
            <w:t xml:space="preserve">, et tegemist on sobinguga ja tõstis 25. septembri 2013. aasta otsusega nr 18662 (edaspidi „vaidlusalune otsus“) </w:t>
          </w:r>
          <w:commentRangeStart w:id="1"/>
          <w:r>
            <w:t>ühikuhinda 0,03 euro võrra aktsia kohta</w:t>
          </w:r>
          <w:commentRangeEnd w:id="1"/>
          <w:r>
            <w:rPr>
              <w:rStyle w:val="CommentReference"/>
            </w:rPr>
            <w:commentReference w:id="1"/>
          </w:r>
          <w:r>
            <w:t xml:space="preserve">, </w:t>
          </w:r>
          <w:r>
            <w:lastRenderedPageBreak/>
            <w:t>määrates uueks hinnaks 0,83 eurot aktsia kohta.</w:t>
          </w:r>
          <w:r w:rsidR="00AA5546" w:rsidRPr="00846D93">
            <w:rPr>
              <w:rStyle w:val="FootnoteReference"/>
              <w:lang w:val="en-GB"/>
            </w:rPr>
            <w:footnoteReference w:id="5"/>
          </w:r>
          <w:r>
            <w:t xml:space="preserve"> </w:t>
          </w:r>
          <w:r w:rsidRPr="00287F16">
            <w:rPr>
              <w:highlight w:val="yellow"/>
            </w:rPr>
            <w:t xml:space="preserve">The </w:t>
          </w:r>
          <w:proofErr w:type="spellStart"/>
          <w:r w:rsidRPr="00287F16">
            <w:rPr>
              <w:highlight w:val="yellow"/>
            </w:rPr>
            <w:t>lawfulness</w:t>
          </w:r>
          <w:proofErr w:type="spellEnd"/>
          <w:r w:rsidRPr="00287F16">
            <w:rPr>
              <w:highlight w:val="yellow"/>
            </w:rPr>
            <w:t xml:space="preserve"> of the </w:t>
          </w:r>
          <w:proofErr w:type="spellStart"/>
          <w:r w:rsidRPr="00287F16">
            <w:rPr>
              <w:highlight w:val="yellow"/>
            </w:rPr>
            <w:t>contested</w:t>
          </w:r>
          <w:proofErr w:type="spellEnd"/>
          <w:r w:rsidRPr="00287F16">
            <w:rPr>
              <w:highlight w:val="yellow"/>
            </w:rPr>
            <w:t xml:space="preserve"> </w:t>
          </w:r>
          <w:proofErr w:type="spellStart"/>
          <w:r w:rsidRPr="00287F16">
            <w:rPr>
              <w:highlight w:val="yellow"/>
            </w:rPr>
            <w:t>decision</w:t>
          </w:r>
          <w:proofErr w:type="spellEnd"/>
          <w:r w:rsidRPr="00287F16">
            <w:rPr>
              <w:highlight w:val="yellow"/>
            </w:rPr>
            <w:t xml:space="preserve"> </w:t>
          </w:r>
          <w:proofErr w:type="spellStart"/>
          <w:r w:rsidRPr="00287F16">
            <w:rPr>
              <w:highlight w:val="yellow"/>
            </w:rPr>
            <w:t>was</w:t>
          </w:r>
          <w:proofErr w:type="spellEnd"/>
          <w:r w:rsidRPr="00287F16">
            <w:rPr>
              <w:highlight w:val="yellow"/>
            </w:rPr>
            <w:t xml:space="preserve"> </w:t>
          </w:r>
          <w:proofErr w:type="spellStart"/>
          <w:r w:rsidRPr="00287F16">
            <w:rPr>
              <w:highlight w:val="yellow"/>
            </w:rPr>
            <w:t>subsequently</w:t>
          </w:r>
          <w:proofErr w:type="spellEnd"/>
          <w:r w:rsidRPr="00287F16">
            <w:rPr>
              <w:highlight w:val="yellow"/>
            </w:rPr>
            <w:t xml:space="preserve"> </w:t>
          </w:r>
          <w:proofErr w:type="spellStart"/>
          <w:r w:rsidRPr="00287F16">
            <w:rPr>
              <w:highlight w:val="yellow"/>
            </w:rPr>
            <w:t>confirmed</w:t>
          </w:r>
          <w:proofErr w:type="spellEnd"/>
          <w:r w:rsidRPr="00287F16">
            <w:rPr>
              <w:highlight w:val="yellow"/>
            </w:rPr>
            <w:t xml:space="preserve"> </w:t>
          </w:r>
          <w:proofErr w:type="spellStart"/>
          <w:r w:rsidRPr="00287F16">
            <w:rPr>
              <w:highlight w:val="yellow"/>
            </w:rPr>
            <w:t>by</w:t>
          </w:r>
          <w:proofErr w:type="spellEnd"/>
          <w:r w:rsidRPr="00287F16">
            <w:rPr>
              <w:highlight w:val="yellow"/>
            </w:rPr>
            <w:t xml:space="preserve"> </w:t>
          </w:r>
          <w:proofErr w:type="spellStart"/>
          <w:r w:rsidRPr="00287F16">
            <w:rPr>
              <w:highlight w:val="yellow"/>
            </w:rPr>
            <w:t>four</w:t>
          </w:r>
          <w:proofErr w:type="spellEnd"/>
          <w:r w:rsidRPr="00287F16">
            <w:rPr>
              <w:highlight w:val="yellow"/>
            </w:rPr>
            <w:t xml:space="preserve"> </w:t>
          </w:r>
          <w:proofErr w:type="spellStart"/>
          <w:r w:rsidRPr="00287F16">
            <w:rPr>
              <w:highlight w:val="yellow"/>
            </w:rPr>
            <w:t>judgments</w:t>
          </w:r>
          <w:proofErr w:type="spellEnd"/>
          <w:r w:rsidRPr="00287F16">
            <w:rPr>
              <w:highlight w:val="yellow"/>
            </w:rPr>
            <w:t xml:space="preserve"> of 19 </w:t>
          </w:r>
          <w:proofErr w:type="spellStart"/>
          <w:r w:rsidRPr="00287F16">
            <w:rPr>
              <w:highlight w:val="yellow"/>
            </w:rPr>
            <w:t>March</w:t>
          </w:r>
          <w:proofErr w:type="spellEnd"/>
          <w:r w:rsidRPr="00287F16">
            <w:rPr>
              <w:highlight w:val="yellow"/>
            </w:rPr>
            <w:t xml:space="preserve"> 2014 of the Tribunale </w:t>
          </w:r>
          <w:proofErr w:type="spellStart"/>
          <w:r w:rsidRPr="00287F16">
            <w:rPr>
              <w:highlight w:val="yellow"/>
            </w:rPr>
            <w:t>amministrativo</w:t>
          </w:r>
          <w:proofErr w:type="spellEnd"/>
          <w:r w:rsidRPr="00287F16">
            <w:rPr>
              <w:highlight w:val="yellow"/>
            </w:rPr>
            <w:t xml:space="preserve"> </w:t>
          </w:r>
          <w:proofErr w:type="spellStart"/>
          <w:r w:rsidRPr="00287F16">
            <w:rPr>
              <w:highlight w:val="yellow"/>
            </w:rPr>
            <w:t>regionale</w:t>
          </w:r>
          <w:proofErr w:type="spellEnd"/>
          <w:r w:rsidRPr="00287F16">
            <w:rPr>
              <w:highlight w:val="yellow"/>
            </w:rPr>
            <w:t xml:space="preserve"> </w:t>
          </w:r>
          <w:proofErr w:type="spellStart"/>
          <w:r w:rsidRPr="00287F16">
            <w:rPr>
              <w:highlight w:val="yellow"/>
            </w:rPr>
            <w:t>per</w:t>
          </w:r>
          <w:proofErr w:type="spellEnd"/>
          <w:r w:rsidRPr="00287F16">
            <w:rPr>
              <w:highlight w:val="yellow"/>
            </w:rPr>
            <w:t xml:space="preserve"> </w:t>
          </w:r>
          <w:proofErr w:type="spellStart"/>
          <w:r w:rsidRPr="00287F16">
            <w:rPr>
              <w:highlight w:val="yellow"/>
            </w:rPr>
            <w:t>il</w:t>
          </w:r>
          <w:proofErr w:type="spellEnd"/>
          <w:r w:rsidRPr="00287F16">
            <w:rPr>
              <w:highlight w:val="yellow"/>
            </w:rPr>
            <w:t xml:space="preserve"> </w:t>
          </w:r>
          <w:proofErr w:type="spellStart"/>
          <w:r w:rsidRPr="00287F16">
            <w:rPr>
              <w:highlight w:val="yellow"/>
            </w:rPr>
            <w:t>Lazio</w:t>
          </w:r>
          <w:proofErr w:type="spellEnd"/>
          <w:r w:rsidRPr="00287F16">
            <w:rPr>
              <w:highlight w:val="yellow"/>
            </w:rPr>
            <w:t xml:space="preserve"> (</w:t>
          </w:r>
          <w:proofErr w:type="spellStart"/>
          <w:r w:rsidRPr="00287F16">
            <w:rPr>
              <w:highlight w:val="yellow"/>
            </w:rPr>
            <w:t>Regional</w:t>
          </w:r>
          <w:proofErr w:type="spellEnd"/>
          <w:r w:rsidRPr="00287F16">
            <w:rPr>
              <w:highlight w:val="yellow"/>
            </w:rPr>
            <w:t xml:space="preserve"> </w:t>
          </w:r>
          <w:proofErr w:type="spellStart"/>
          <w:r w:rsidRPr="00287F16">
            <w:rPr>
              <w:highlight w:val="yellow"/>
            </w:rPr>
            <w:t>Administrative</w:t>
          </w:r>
          <w:proofErr w:type="spellEnd"/>
          <w:r w:rsidRPr="00287F16">
            <w:rPr>
              <w:highlight w:val="yellow"/>
            </w:rPr>
            <w:t xml:space="preserve"> </w:t>
          </w:r>
          <w:proofErr w:type="spellStart"/>
          <w:r w:rsidRPr="00287F16">
            <w:rPr>
              <w:highlight w:val="yellow"/>
            </w:rPr>
            <w:t>Court</w:t>
          </w:r>
          <w:proofErr w:type="spellEnd"/>
          <w:r w:rsidRPr="00287F16">
            <w:rPr>
              <w:highlight w:val="yellow"/>
            </w:rPr>
            <w:t xml:space="preserve"> of </w:t>
          </w:r>
          <w:proofErr w:type="spellStart"/>
          <w:r w:rsidRPr="00287F16">
            <w:rPr>
              <w:highlight w:val="yellow"/>
            </w:rPr>
            <w:t>Lazio</w:t>
          </w:r>
          <w:proofErr w:type="spellEnd"/>
          <w:r w:rsidRPr="00287F16">
            <w:rPr>
              <w:highlight w:val="yellow"/>
            </w:rPr>
            <w:t>)</w:t>
          </w:r>
          <w:r>
            <w:t>.</w:t>
          </w:r>
        </w:p>
      </w:sdtContent>
    </w:sdt>
    <w:sdt>
      <w:sdtPr>
        <w:alias w:val=""/>
        <w:tag w:val="ccTag61"/>
        <w:id w:val="61"/>
      </w:sdtPr>
      <w:sdtEndPr/>
      <w:sdtContent>
        <w:p w14:paraId="3F16BC93" w14:textId="77777777" w:rsidR="00CE5204" w:rsidRPr="00846D93" w:rsidRDefault="0022005D" w:rsidP="00CE5204">
          <w:pPr>
            <w:pStyle w:val="01PointAltN"/>
          </w:pPr>
          <w:r>
            <w:t xml:space="preserve">Need neli otsust on praegu eelotsusetaotluse esitanud kohtus vaidlustatud ja menetlemisel. Sellega seoses märgib eelotsusetaotluse esitanud kohus, et mõiste „sobing“ on kasutusel mitmes Itaalia õigusaktis. Kuigi selle mõiste täpne tähendus ei ole staatiline, ei eelda „sobingu“ koosseis ebaseaduslikku kokkulepet ja pettust, mis kahjustab kolmandaid isikuid või mille abil hoitakse kõrvale imperatiivsete õigusnormide järgimisest, mis eeldab kõigi kokkuleppe osaliste tahtlust ja kavatsust. Sellega seoses märgib eelotsusetaotluse esitanud kohus, et </w:t>
          </w:r>
          <w:proofErr w:type="spellStart"/>
          <w:r>
            <w:t>Allianz</w:t>
          </w:r>
          <w:proofErr w:type="spellEnd"/>
          <w:r>
            <w:t xml:space="preserve"> ja </w:t>
          </w:r>
          <w:proofErr w:type="spellStart"/>
          <w:r>
            <w:t>FonSai</w:t>
          </w:r>
          <w:proofErr w:type="spellEnd"/>
          <w:r>
            <w:t xml:space="preserve"> ei olnud sellisest kokkuleppest teadlikud. Seega kui kohaldada sobingu mõiste seda tõlgendust, tuleks MTP ja </w:t>
          </w:r>
          <w:proofErr w:type="spellStart"/>
          <w:r>
            <w:t>Lauro</w:t>
          </w:r>
          <w:proofErr w:type="spellEnd"/>
          <w:r>
            <w:t> 61 apellatsioonkaebused rahuldada.</w:t>
          </w:r>
        </w:p>
      </w:sdtContent>
    </w:sdt>
    <w:bookmarkStart w:id="2" w:name="_Ref471922412" w:displacedByCustomXml="next"/>
    <w:sdt>
      <w:sdtPr>
        <w:alias w:val=""/>
        <w:tag w:val="ccTag62"/>
        <w:id w:val="62"/>
      </w:sdtPr>
      <w:sdtEndPr/>
      <w:sdtContent>
        <w:p w14:paraId="664D3555" w14:textId="77777777" w:rsidR="00743532" w:rsidRPr="00846D93" w:rsidRDefault="00743532" w:rsidP="00743532">
          <w:pPr>
            <w:pStyle w:val="01PointAltN"/>
          </w:pPr>
          <w:r>
            <w:t xml:space="preserve">Eelotsusetaotluse esitanud kohus lisab aga, et arvestades muu hulgas kõne all olevat spetsiifilist õigusvaldkonda ja </w:t>
          </w:r>
          <w:proofErr w:type="spellStart"/>
          <w:r>
            <w:t>Consobile</w:t>
          </w:r>
          <w:proofErr w:type="spellEnd"/>
          <w:r>
            <w:t xml:space="preserve"> antud reguleerimisvolituste laadi, võib sobingu mõistet olla vaja tõlgendada teisiti. Sellele vaatamata võivad sellise tõlgendusega kaasneda õiguskindluse probleemid, kuna seetõttu ei ole ettevõtjatel võimalik ette näha, kuidas nad peavad enne ülevõtmispakkumise tegemist toimima. Kuna eelotsusetaotluse esitanud kohtul on tekkinud kahtlused direktiivi 2004/25 artikli 3 lõike 1 ja artikli 5 lõike 4 õiges tõlgendamises, otsustas ta oma menetluse peatada ja esitada Euroopa Kohtule järgmise eelotsuse küsimuse:</w:t>
          </w:r>
        </w:p>
      </w:sdtContent>
    </w:sdt>
    <w:bookmarkEnd w:id="2" w:displacedByCustomXml="prev"/>
    <w:sdt>
      <w:sdtPr>
        <w:alias w:val=""/>
        <w:tag w:val="ccTag63"/>
        <w:id w:val="63"/>
      </w:sdtPr>
      <w:sdtEndPr/>
      <w:sdtContent>
        <w:p w14:paraId="3B03E73B" w14:textId="77777777" w:rsidR="00CE5204" w:rsidRPr="00846D93" w:rsidRDefault="00CE5204" w:rsidP="00CE5204">
          <w:pPr>
            <w:pStyle w:val="02AlineaAltA"/>
          </w:pPr>
          <w:r>
            <w:t>„Kas [direktiivi 2004/25/EÜ] ülevõtmispakkumiste kohta artikli 5 lõike 4 teise lõigu õige kohaldamisega seoses sama direktiivi artikli 3 lõikes 1 sätestatud üldpõhimõtetega ning selliste Euroopa õiguse üldpõhimõtete õige kohaldamisega, nagu õiguskindluse põhimõte, õiguspärase ootuse kaitse põhimõte, proportsionaalsuse põhimõte, mõistlikkuse põhimõte, läbipaistvuse põhimõte ja diskrimineerimiskeelu põhimõte, on vastuolus sellised liikmesriigi õigusnormid, nagu on sätestatud [24. veebruari 1998. aasta seadusandliku dekreedi nr 58] artikli 106 lõike 3 punkti d alapunktis 2 ning [rakendusmääruse] artiklis 47 </w:t>
          </w:r>
          <w:proofErr w:type="spellStart"/>
          <w:r>
            <w:rPr>
              <w:i/>
            </w:rPr>
            <w:t>octies</w:t>
          </w:r>
          <w:proofErr w:type="spellEnd"/>
          <w:r>
            <w:t xml:space="preserve">, osas, kus need sätted lubavad </w:t>
          </w:r>
          <w:proofErr w:type="spellStart"/>
          <w:r>
            <w:t>Consobil</w:t>
          </w:r>
          <w:proofErr w:type="spellEnd"/>
          <w:r>
            <w:t xml:space="preserve"> eelviidatud artiklis 106 ette nähtud ülevõtmispakkumist suurendada juhul, kui on sõlmitud „sobing ülevõtja või temaga kooskõlastatult tegutsevate isikute ja ühe või mitme müüja vahel“, täpsustamata, milline konkreetne tegevus endast sellist sobingut kujutab, ning seega määramata selgelt kindlaks asjaolusid ja kriteeriume, mille puhul on </w:t>
          </w:r>
          <w:proofErr w:type="spellStart"/>
          <w:r>
            <w:t>Consobil</w:t>
          </w:r>
          <w:proofErr w:type="spellEnd"/>
          <w:r>
            <w:t xml:space="preserve"> lubatud ülevõtmispakkumise hinda tõsta?“</w:t>
          </w:r>
        </w:p>
      </w:sdtContent>
    </w:sdt>
    <w:sdt>
      <w:sdtPr>
        <w:alias w:val=""/>
        <w:tag w:val="ccTag64"/>
        <w:id w:val="64"/>
      </w:sdtPr>
      <w:sdtEndPr/>
      <w:sdtContent>
        <w:p w14:paraId="1FCA84BF" w14:textId="77777777" w:rsidR="00992BF1" w:rsidRPr="00846D93" w:rsidRDefault="00992BF1" w:rsidP="00992BF1">
          <w:pPr>
            <w:pStyle w:val="21Titrenumerote1"/>
          </w:pPr>
          <w:r>
            <w:t>Analüüs</w:t>
          </w:r>
        </w:p>
      </w:sdtContent>
    </w:sdt>
    <w:sdt>
      <w:sdtPr>
        <w:alias w:val=""/>
        <w:tag w:val="ccTag65"/>
        <w:id w:val="65"/>
      </w:sdtPr>
      <w:sdtEndPr/>
      <w:sdtContent>
        <w:p w14:paraId="375363B6" w14:textId="77777777" w:rsidR="00992BF1" w:rsidRPr="00846D93" w:rsidRDefault="00992BF1" w:rsidP="00992BF1">
          <w:pPr>
            <w:pStyle w:val="22Titrenumerote2"/>
          </w:pPr>
          <w:r>
            <w:t>Sissejuhatavad märkused</w:t>
          </w:r>
        </w:p>
      </w:sdtContent>
    </w:sdt>
    <w:sdt>
      <w:sdtPr>
        <w:alias w:val=""/>
        <w:tag w:val="ccTag66"/>
        <w:id w:val="66"/>
      </w:sdtPr>
      <w:sdtEndPr/>
      <w:sdtContent>
        <w:p w14:paraId="15250C2B" w14:textId="77777777" w:rsidR="007E5F6D" w:rsidRPr="00846D93" w:rsidRDefault="007E5F6D" w:rsidP="007E5F6D">
          <w:pPr>
            <w:pStyle w:val="01PointAltN"/>
          </w:pPr>
          <w:r>
            <w:t>See on esimene kord, kui Euroopa Kohtul palutakse tõlgendada direktiivi 2004/25 artikli 5 lõiget 4. Selles õigusaktis sisalduvate eeskirjade kohta annab Euroopa Kohus juhiseid üldse alles teist korda.</w:t>
          </w:r>
          <w:r w:rsidRPr="00846D93">
            <w:rPr>
              <w:rStyle w:val="FootnoteReference"/>
              <w:lang w:val="en-GB"/>
            </w:rPr>
            <w:footnoteReference w:id="6"/>
          </w:r>
          <w:r>
            <w:t xml:space="preserve"> Lisaks on Tribunale </w:t>
          </w:r>
          <w:proofErr w:type="spellStart"/>
          <w:r>
            <w:t>amministrativo</w:t>
          </w:r>
          <w:proofErr w:type="spellEnd"/>
          <w:r>
            <w:t xml:space="preserve"> </w:t>
          </w:r>
          <w:proofErr w:type="spellStart"/>
          <w:r>
            <w:t>regionale</w:t>
          </w:r>
          <w:proofErr w:type="spellEnd"/>
          <w:r>
            <w:t xml:space="preserve"> </w:t>
          </w:r>
          <w:proofErr w:type="spellStart"/>
          <w:r>
            <w:t>per</w:t>
          </w:r>
          <w:proofErr w:type="spellEnd"/>
          <w:r>
            <w:t xml:space="preserve"> </w:t>
          </w:r>
          <w:proofErr w:type="spellStart"/>
          <w:r>
            <w:t>il</w:t>
          </w:r>
          <w:proofErr w:type="spellEnd"/>
          <w:r>
            <w:t xml:space="preserve"> </w:t>
          </w:r>
          <w:proofErr w:type="spellStart"/>
          <w:r>
            <w:t>Lazio</w:t>
          </w:r>
          <w:proofErr w:type="spellEnd"/>
          <w:r>
            <w:t xml:space="preserve"> (</w:t>
          </w:r>
          <w:proofErr w:type="spellStart"/>
          <w:r>
            <w:t>Lazio</w:t>
          </w:r>
          <w:proofErr w:type="spellEnd"/>
          <w:r>
            <w:t xml:space="preserve"> </w:t>
          </w:r>
          <w:commentRangeStart w:id="3"/>
          <w:r>
            <w:t>piirkondlik</w:t>
          </w:r>
          <w:commentRangeEnd w:id="3"/>
          <w:r>
            <w:rPr>
              <w:rStyle w:val="CommentReference"/>
            </w:rPr>
            <w:commentReference w:id="3"/>
          </w:r>
          <w:r>
            <w:t xml:space="preserve"> halduskohus, Itaalia) pärast </w:t>
          </w:r>
          <w:proofErr w:type="spellStart"/>
          <w:r>
            <w:t>Consiglio</w:t>
          </w:r>
          <w:proofErr w:type="spellEnd"/>
          <w:r>
            <w:t xml:space="preserve"> di </w:t>
          </w:r>
          <w:proofErr w:type="spellStart"/>
          <w:r>
            <w:t>Stato</w:t>
          </w:r>
          <w:proofErr w:type="spellEnd"/>
          <w:r>
            <w:t xml:space="preserve"> (Itaalia kõrgeima halduskohtuna tegutsev riiginõukogu) otsust pöörduda käesolevas asjas Euroopa Kohtu poole, samuti esitanud viis eelotsuse küsimust direktiivi 2004/25 artikli 5 lõike 4 tõlgendamise kohta.</w:t>
          </w:r>
          <w:r w:rsidR="003A1C30" w:rsidRPr="00846D93">
            <w:rPr>
              <w:rStyle w:val="FootnoteReference"/>
              <w:lang w:val="en-GB"/>
            </w:rPr>
            <w:footnoteReference w:id="7"/>
          </w:r>
        </w:p>
      </w:sdtContent>
    </w:sdt>
    <w:sdt>
      <w:sdtPr>
        <w:alias w:val=""/>
        <w:tag w:val="ccTag67"/>
        <w:id w:val="67"/>
      </w:sdtPr>
      <w:sdtEndPr/>
      <w:sdtContent>
        <w:p w14:paraId="4950994C" w14:textId="77777777" w:rsidR="00CB6413" w:rsidRPr="00846D93" w:rsidRDefault="00973814" w:rsidP="00CB6413">
          <w:pPr>
            <w:pStyle w:val="01PointAltN"/>
          </w:pPr>
          <w:r>
            <w:t>Eelotsusetaotluse esitanud kohus soovib sisuliselt teada, kas 24. veebruari 1998. aasta seadusandliku dekreedi artikli 106 lõike 3 punkti d alapunktis 2 ja rakendusmääruse artiklis 47 </w:t>
          </w:r>
          <w:proofErr w:type="spellStart"/>
          <w:r>
            <w:rPr>
              <w:i/>
            </w:rPr>
            <w:t>octies</w:t>
          </w:r>
          <w:proofErr w:type="spellEnd"/>
          <w:r>
            <w:t xml:space="preserve"> (koos edaspidi „vaidlusalused Itaalia õigusnormid“) kasutatava mõiste „sobing“ tõlgendamine nii, et see ei kohusta kindlaks tegema toiminguid, milles selline olukord seisneb, on lubatud vastavalt direktiivi 2004/25 artikli 5 lõikele 4 koostoimes artikli 3 lõikega 1 ja teatavate üldpõhimõtetega, näiteks eriti õiguskindluse põhimõte.</w:t>
          </w:r>
        </w:p>
      </w:sdtContent>
    </w:sdt>
    <w:sdt>
      <w:sdtPr>
        <w:alias w:val=""/>
        <w:tag w:val="ccTag68"/>
        <w:id w:val="68"/>
      </w:sdtPr>
      <w:sdtEndPr/>
      <w:sdtContent>
        <w:p w14:paraId="3415E3FC" w14:textId="77777777" w:rsidR="009E6B22" w:rsidRPr="00846D93" w:rsidRDefault="00973814" w:rsidP="009E6B22">
          <w:pPr>
            <w:pStyle w:val="01PointAltN"/>
          </w:pPr>
          <w:r>
            <w:t>Eelotsusetaotlusest nähtub, et selle esitanud kohus peab mõiste „sobing“ puhul võimalikuks kaht tõlgendust: ühelt poolt kitsas tõlgendus, mis eeldab ebaseaduslikku kokkulepet ja pettust, mis kahjustab kolmandaid isikuid või mille abil hoitakse kõrvale imperatiivsete õigusnormide järgimisest, ning kõigi kokkuleppe osaliste tahtlust ja kavatsust (edaspidi „kitsas tõlgendus“), ja teiselt poolt lai tõlgendus, mille kohaselt võib kokkulepe koosneda kohustusliku ülevõtmispakkumise tegelikult tinginud tehingust kaugemale minevaid aspekte ja mis ei eelda tingimata kõigi kokkuleppe osaliste tahtlust ja kavatsust (edaspidi „lai tõlgendus“).</w:t>
          </w:r>
        </w:p>
      </w:sdtContent>
    </w:sdt>
    <w:sdt>
      <w:sdtPr>
        <w:alias w:val=""/>
        <w:tag w:val="ccTag69"/>
        <w:id w:val="69"/>
      </w:sdtPr>
      <w:sdtEndPr/>
      <w:sdtContent>
        <w:p w14:paraId="46D7F930" w14:textId="77777777" w:rsidR="00973814" w:rsidRPr="00846D93" w:rsidRDefault="00180956" w:rsidP="00973814">
          <w:pPr>
            <w:pStyle w:val="01PointAltN"/>
          </w:pPr>
          <w:r>
            <w:t xml:space="preserve">Eelotsusetaotluse esitanud kohus märgib, et kuna </w:t>
          </w:r>
          <w:proofErr w:type="spellStart"/>
          <w:r>
            <w:t>Allianzil</w:t>
          </w:r>
          <w:proofErr w:type="spellEnd"/>
          <w:r>
            <w:t xml:space="preserve"> ja </w:t>
          </w:r>
          <w:proofErr w:type="spellStart"/>
          <w:r>
            <w:t>Fonsail</w:t>
          </w:r>
          <w:proofErr w:type="spellEnd"/>
          <w:r>
            <w:t xml:space="preserve"> ei olnud kavatsust osaleda üheski ebaseaduslikus kokkuleppes ega pettuses, ei oleks </w:t>
          </w:r>
          <w:proofErr w:type="spellStart"/>
          <w:r>
            <w:t>Consobi</w:t>
          </w:r>
          <w:proofErr w:type="spellEnd"/>
          <w:r>
            <w:t xml:space="preserve">-poolne hinna kohandamine sobingu mõiste kitsa tõlgenduse korral lubatud. Seepärast leiab eelotsusetaotluse esitanud kohus, et vastus sellele küsimusele määrab ära hinna, mida </w:t>
          </w:r>
          <w:proofErr w:type="spellStart"/>
          <w:r>
            <w:t>Lauro</w:t>
          </w:r>
          <w:proofErr w:type="spellEnd"/>
          <w:r>
            <w:t xml:space="preserve"> 61 oli kohustatud direktiivi 2004/25 artikli 5 kohaselt </w:t>
          </w:r>
          <w:proofErr w:type="spellStart"/>
          <w:r>
            <w:t>Camfini</w:t>
          </w:r>
          <w:proofErr w:type="spellEnd"/>
          <w:r>
            <w:t xml:space="preserve"> aktsiate eest </w:t>
          </w:r>
          <w:proofErr w:type="spellStart"/>
          <w:r>
            <w:t>Camfini</w:t>
          </w:r>
          <w:proofErr w:type="spellEnd"/>
          <w:r>
            <w:t xml:space="preserve"> üle võttes pakkuma.</w:t>
          </w:r>
        </w:p>
      </w:sdtContent>
    </w:sdt>
    <w:sdt>
      <w:sdtPr>
        <w:alias w:val=""/>
        <w:tag w:val="ccTag70"/>
        <w:id w:val="70"/>
      </w:sdtPr>
      <w:sdtEndPr/>
      <w:sdtContent>
        <w:p w14:paraId="667F7A94" w14:textId="77777777" w:rsidR="00CB6413" w:rsidRPr="00846D93" w:rsidRDefault="00973814" w:rsidP="00CB6413">
          <w:pPr>
            <w:pStyle w:val="01PointAltN"/>
          </w:pPr>
          <w:r>
            <w:t>Tahaksin siinkohal teha täiesti selgeks ühe käesolevas asjas keskse tähtsusega küsimuse.</w:t>
          </w:r>
        </w:p>
      </w:sdtContent>
    </w:sdt>
    <w:sdt>
      <w:sdtPr>
        <w:alias w:val=""/>
        <w:tag w:val="ccTag71"/>
        <w:id w:val="71"/>
      </w:sdtPr>
      <w:sdtEndPr/>
      <w:sdtContent>
        <w:p w14:paraId="438E7F4B" w14:textId="77777777" w:rsidR="00973814" w:rsidRPr="00846D93" w:rsidRDefault="001A0E8C" w:rsidP="00973814">
          <w:pPr>
            <w:pStyle w:val="01PointAltN"/>
          </w:pPr>
          <w:r>
            <w:t xml:space="preserve">Lühidalt: Euroopa Kohus ei ole pädev sedastama, kuidas tuleks vaidlusalustes Itaalia õigusnormides kasutatavat sobingu mõistet tõlgendada. </w:t>
          </w:r>
          <w:r>
            <w:lastRenderedPageBreak/>
            <w:t>Eelkõige ei ole ta pädev valima, kumba neist kirjeldatud kahest tõlgendusest ta eelistab. Selleks on pädev ainult eelotsusetaotluse esitanud kohus.</w:t>
          </w:r>
          <w:r w:rsidR="00973814" w:rsidRPr="00846D93">
            <w:rPr>
              <w:rStyle w:val="FootnoteReference"/>
              <w:lang w:val="en-GB"/>
            </w:rPr>
            <w:footnoteReference w:id="8"/>
          </w:r>
          <w:r>
            <w:t xml:space="preserve"> See peab ise otsustama, kumba – kitsast või laia – tõlgendust ta õigeks peab.</w:t>
          </w:r>
        </w:p>
      </w:sdtContent>
    </w:sdt>
    <w:sdt>
      <w:sdtPr>
        <w:alias w:val=""/>
        <w:tag w:val="ccTag72"/>
        <w:id w:val="72"/>
      </w:sdtPr>
      <w:sdtEndPr/>
      <w:sdtContent>
        <w:p w14:paraId="4CB63FEE" w14:textId="77777777" w:rsidR="001315A4" w:rsidRPr="00846D93" w:rsidRDefault="00A76C6A" w:rsidP="001315A4">
          <w:pPr>
            <w:pStyle w:val="01PointAltN"/>
          </w:pPr>
          <w:r>
            <w:t>Sellegipoolest: Euroopa Kohus saab ja peabki eelotsusetaotluse esitanud kohtu abistamiseks selle menetluses oleva vaidluse lahendamisel tõlgendama ELi õiguse norme, milleks käesolevas asjas on valdavalt direktiivi 2004/25 artikli 5 lõige 4, ja eelkõige väljendit „selgesti määratletud“. Kuigi seda väljendit kasutatakse liikmesriikide meetmete kohta, ei näe direktiivi artikli 5 lõige 4 ette, et liikmesriigid peavad selle mõiste ise oma õiguses määratlema. Seega on tegemist ELi õiguse sõltumatu mõistega, mida tuleb tõlgendada ühetaoliselt.</w:t>
          </w:r>
        </w:p>
      </w:sdtContent>
    </w:sdt>
    <w:sdt>
      <w:sdtPr>
        <w:alias w:val=""/>
        <w:tag w:val="ccTag73"/>
        <w:id w:val="73"/>
      </w:sdtPr>
      <w:sdtEndPr/>
      <w:sdtContent>
        <w:p w14:paraId="06BF6595" w14:textId="77777777" w:rsidR="00231617" w:rsidRPr="00846D93" w:rsidRDefault="009E6B22" w:rsidP="00231617">
          <w:pPr>
            <w:pStyle w:val="01PointAltN"/>
          </w:pPr>
          <w:r>
            <w:t>Kuid enne, kui hakkan direktiivi 2004/25 artikli 5 lõikele 4 pakkuma tõlgendust, millest võiks eelotsusetaotluse esitanud kohtule kasu olla, tasub meelde tuletada, et seesama kohus on juba välistanud mõtte, et sobingu mõiste kitsas tõlgendus on piisav selleks, et põhjendada vaidlustatud kohtuotsuseid ja sellest tulenevalt vaidlustatud otsust. Seega jääb Euroopa Kohtule üle vaid kaaluda, kas sobingu mõiste laia tõlgendust saab direktiivi 2004/25 artikli 5 lõike 4 tähenduses pidada „selgesti määratletuks“, ja sellisena on see tõlgendus, millele Euroopa Kohus peab oma vastuse andmisel keskenduma.</w:t>
          </w:r>
        </w:p>
      </w:sdtContent>
    </w:sdt>
    <w:sdt>
      <w:sdtPr>
        <w:alias w:val=""/>
        <w:tag w:val="ccTag74"/>
        <w:id w:val="74"/>
      </w:sdtPr>
      <w:sdtEndPr/>
      <w:sdtContent>
        <w:p w14:paraId="77A8A99E" w14:textId="77777777" w:rsidR="00992BF1" w:rsidRPr="00846D93" w:rsidRDefault="00992BF1" w:rsidP="00992BF1">
          <w:pPr>
            <w:pStyle w:val="22Titrenumerote2"/>
          </w:pPr>
          <w:r>
            <w:t>Eelotsuse küsimuse analüüs</w:t>
          </w:r>
        </w:p>
      </w:sdtContent>
    </w:sdt>
    <w:sdt>
      <w:sdtPr>
        <w:alias w:val=""/>
        <w:tag w:val="ccTag75"/>
        <w:id w:val="75"/>
      </w:sdtPr>
      <w:sdtEndPr/>
      <w:sdtContent>
        <w:p w14:paraId="1C7FFDD9" w14:textId="77777777" w:rsidR="00553989" w:rsidRPr="00846D93" w:rsidRDefault="00AE584E" w:rsidP="00553989">
          <w:pPr>
            <w:pStyle w:val="23Titrenumerote3"/>
          </w:pPr>
          <w:r>
            <w:t>Direktiivi 2004/25 artikli 5 lõige 4: sissejuhatavad märkused</w:t>
          </w:r>
        </w:p>
      </w:sdtContent>
    </w:sdt>
    <w:sdt>
      <w:sdtPr>
        <w:alias w:val=""/>
        <w:tag w:val="ccTag76"/>
        <w:id w:val="76"/>
      </w:sdtPr>
      <w:sdtEndPr/>
      <w:sdtContent>
        <w:p w14:paraId="753A3396" w14:textId="77777777" w:rsidR="00AF1330" w:rsidRPr="00846D93" w:rsidRDefault="00C72F32" w:rsidP="00AF1330">
          <w:pPr>
            <w:pStyle w:val="01PointAltN"/>
          </w:pPr>
          <w:r>
            <w:t>Kui direktiivi 2004/25 artikli 5 lõige 1 määrab kindlaks tingimused, mil füüsiline või juriidiline isik on siseriiklikus õiguses määratletud künniseni jõudes kohustatud tegema asjaomase äriühingu ülejäänud väärtpaberite kohta pakkumise, siis artikli 5 lõige 4 reguleerib hinda, mida seejuures tuleb pakkuda.</w:t>
          </w:r>
        </w:p>
      </w:sdtContent>
    </w:sdt>
    <w:sdt>
      <w:sdtPr>
        <w:alias w:val=""/>
        <w:tag w:val="ccTag77"/>
        <w:id w:val="77"/>
      </w:sdtPr>
      <w:sdtEndPr/>
      <w:sdtContent>
        <w:p w14:paraId="54DA05D1" w14:textId="77777777" w:rsidR="00041F9B" w:rsidRPr="00846D93" w:rsidRDefault="000F4EEC" w:rsidP="00041F9B">
          <w:pPr>
            <w:pStyle w:val="01PointAltN"/>
          </w:pPr>
          <w:r>
            <w:t>Direktiivi 2004/25 artikli 5 lõike 4 esimene lõik määratleb väga selgesti, milline see hind üldreeglina peab olema. Selleks loetakse lihtsalt kõrgeim hind, mida pakkumise tegija (või temaga kooskõlas tegutsevad isikud) on maksnud minimaalselt kuue- ja maksimaalselt 12-kuulise ajavahemiku jooksul, mille täpse kestuse määravad kindlaks liikmesriigid (kõrgeima hinna reegel). Lisaks on see hind direktiivi kohaselt õiglane hind. Selle põhjus peaks olema ilmne: kõrgeima hinna reeglist tuleneb üsna konkreetselt hind, mida tuleb pakkuda nii läbipaistvalt kui ka prognoositavalt.</w:t>
          </w:r>
        </w:p>
      </w:sdtContent>
    </w:sdt>
    <w:bookmarkStart w:id="4" w:name="_Ref472497913" w:displacedByCustomXml="next"/>
    <w:sdt>
      <w:sdtPr>
        <w:alias w:val=""/>
        <w:tag w:val="ccTag78"/>
        <w:id w:val="78"/>
      </w:sdtPr>
      <w:sdtEndPr/>
      <w:sdtContent>
        <w:p w14:paraId="4B1DF45F" w14:textId="77777777" w:rsidR="00080AB3" w:rsidRPr="00846D93" w:rsidRDefault="00755D61" w:rsidP="00080AB3">
          <w:pPr>
            <w:pStyle w:val="01PointAltN"/>
          </w:pPr>
          <w:r>
            <w:t xml:space="preserve">Direktiivi 2004/25 artikli 5 lõike 4 teine lõik aga annab liikmesriikide õiguse volitada oma väärtpaberijärelevalvet seda hinda teatavatel tingimustel kohandama. Selles sättes kasutatakse sõnu, nagu i) ülevõtmispakkumise </w:t>
          </w:r>
          <w:r>
            <w:rPr>
              <w:i/>
            </w:rPr>
            <w:t>asjaolud</w:t>
          </w:r>
          <w:r>
            <w:t xml:space="preserve"> ja </w:t>
          </w:r>
          <w:r>
            <w:lastRenderedPageBreak/>
            <w:t>ii) </w:t>
          </w:r>
          <w:r>
            <w:rPr>
              <w:i/>
            </w:rPr>
            <w:t>kriteeriumid</w:t>
          </w:r>
          <w:r>
            <w:t>, millest tuleb hinna kohandamisel lähtuda. Lisaks peavad liikmesriigid seejuures järgima artikli 3 lõikes 1 sätestatud üldpõhimõtteid ning need asjaolud ja kriteeriumid peavad olema „selgesti määratletud“.</w:t>
          </w:r>
        </w:p>
      </w:sdtContent>
    </w:sdt>
    <w:bookmarkEnd w:id="4" w:displacedByCustomXml="prev"/>
    <w:sdt>
      <w:sdtPr>
        <w:alias w:val=""/>
        <w:tag w:val="ccTag79"/>
        <w:id w:val="79"/>
      </w:sdtPr>
      <w:sdtEndPr/>
      <w:sdtContent>
        <w:p w14:paraId="5734CB5C" w14:textId="77777777" w:rsidR="00755D61" w:rsidRPr="00846D93" w:rsidRDefault="00755D61" w:rsidP="00755D61">
          <w:pPr>
            <w:pStyle w:val="01PointAltN"/>
          </w:pPr>
          <w:r>
            <w:t xml:space="preserve">Minu arvates nähtub eespool kirjeldatust üpris selgesti, et direktiivi 2004/25 artikli 5 lõike 4 teine lõik reguleerib seda, </w:t>
          </w:r>
          <w:r>
            <w:rPr>
              <w:i/>
            </w:rPr>
            <w:t>millal, miks ja kuidas</w:t>
          </w:r>
          <w:r>
            <w:t xml:space="preserve"> võib liikmesriik oma ametiasutusi volitada sekkuma ülevõtmispakkumisse, kui kõrgeima hinna reegel ei kajasta tegelikult õiglast hinda.</w:t>
          </w:r>
          <w:r w:rsidR="00C801BD" w:rsidRPr="00846D93">
            <w:rPr>
              <w:rStyle w:val="FootnoteReference"/>
              <w:lang w:val="en-GB"/>
            </w:rPr>
            <w:footnoteReference w:id="9"/>
          </w:r>
          <w:r>
            <w:t xml:space="preserve"> Nagu allpool selgitan, tohib seejuures arvesse võtta ainult neid asjaolusid, millel on kohustusliku ülevõtmispakkumise tinginud tehinguga </w:t>
          </w:r>
          <w:r>
            <w:rPr>
              <w:i/>
            </w:rPr>
            <w:t>selge ja otsene seos</w:t>
          </w:r>
          <w:r>
            <w:t>.</w:t>
          </w:r>
        </w:p>
      </w:sdtContent>
    </w:sdt>
    <w:sdt>
      <w:sdtPr>
        <w:alias w:val=""/>
        <w:tag w:val="ccTag80"/>
        <w:id w:val="80"/>
      </w:sdtPr>
      <w:sdtEndPr/>
      <w:sdtContent>
        <w:p w14:paraId="1F6A6303" w14:textId="77777777" w:rsidR="00D22622" w:rsidRPr="00846D93" w:rsidRDefault="00B20D20" w:rsidP="00D22622">
          <w:pPr>
            <w:pStyle w:val="01PointAltN"/>
          </w:pPr>
          <w:r>
            <w:t xml:space="preserve">     Järgmiseks analüüsin põhjalikumalt direktiivi 2004/25 artikli 5 lõike 4 teist lõiku, mis on põhikohtuasjas vaidluse all. Milleks see kohustab ja mida tegelikult tähendab väljend „selgesti määratletud“?</w:t>
          </w:r>
        </w:p>
      </w:sdtContent>
    </w:sdt>
    <w:sdt>
      <w:sdtPr>
        <w:alias w:val=""/>
        <w:tag w:val="ccTag81"/>
        <w:id w:val="81"/>
      </w:sdtPr>
      <w:sdtEndPr/>
      <w:sdtContent>
        <w:p w14:paraId="4F6534B8" w14:textId="77777777" w:rsidR="00553989" w:rsidRPr="00846D93" w:rsidRDefault="00553989" w:rsidP="00553989">
          <w:pPr>
            <w:pStyle w:val="23Titrenumerote3"/>
          </w:pPr>
          <w:r>
            <w:t>Paradigma: liikmesriikide kaalutlusõigus</w:t>
          </w:r>
        </w:p>
      </w:sdtContent>
    </w:sdt>
    <w:sdt>
      <w:sdtPr>
        <w:alias w:val=""/>
        <w:tag w:val="ccTag82"/>
        <w:id w:val="82"/>
      </w:sdtPr>
      <w:sdtEndPr/>
      <w:sdtContent>
        <w:p w14:paraId="78A44D62" w14:textId="77777777" w:rsidR="00C801BD" w:rsidRPr="00846D93" w:rsidRDefault="00D22622" w:rsidP="00C801BD">
          <w:pPr>
            <w:pStyle w:val="01PointAltN"/>
          </w:pPr>
          <w:r>
            <w:t>Esimesena on kohe selge, et direktiivi 2004/25 artikli 5 lõike 4 teine lõik sisaldab midagi sellist, mida mina saan pidada ainult mitteammendavaks näitlikuks loeteluks, millest liikmesriigid võivad ammutada inspiratsiooni, kui nad soovivad oma väärtpaberijärelevalvet hinda kohandama volitada.</w:t>
          </w:r>
        </w:p>
      </w:sdtContent>
    </w:sdt>
    <w:sdt>
      <w:sdtPr>
        <w:alias w:val=""/>
        <w:tag w:val="ccTag83"/>
        <w:id w:val="83"/>
      </w:sdtPr>
      <w:sdtEndPr/>
      <w:sdtContent>
        <w:p w14:paraId="5239A0F0" w14:textId="77777777" w:rsidR="00B61AA7" w:rsidRPr="00846D93" w:rsidRDefault="00B61AA7" w:rsidP="00B61AA7">
          <w:pPr>
            <w:pStyle w:val="01PointAltN"/>
          </w:pPr>
          <w:r>
            <w:t xml:space="preserve">Teiseks näib selge, et direktiivi 2004/25 artikli 5 lõike 4 teises lõigus osutatud „asjaolud“, mil hinda võib kohandada, on analüütiliselt võttes ülemad „kriteeriumidest“, millest tuleb kohandamisel lähtuda. </w:t>
          </w:r>
        </w:p>
      </w:sdtContent>
    </w:sdt>
    <w:sdt>
      <w:sdtPr>
        <w:alias w:val=""/>
        <w:tag w:val="ccTag84"/>
        <w:id w:val="84"/>
      </w:sdtPr>
      <w:sdtEndPr/>
      <w:sdtContent>
        <w:p w14:paraId="07DFE63E" w14:textId="77777777" w:rsidR="00C801BD" w:rsidRPr="00846D93" w:rsidRDefault="00C801BD" w:rsidP="00C801BD">
          <w:pPr>
            <w:pStyle w:val="01PointAltN"/>
          </w:pPr>
          <w:r>
            <w:t>Peale selle direktiivi 2004/25 artikli 5 lõike 4 teine lõik iseenesest palju rohkem ei ütle.</w:t>
          </w:r>
        </w:p>
      </w:sdtContent>
    </w:sdt>
    <w:sdt>
      <w:sdtPr>
        <w:alias w:val=""/>
        <w:tag w:val="ccTag85"/>
        <w:id w:val="85"/>
      </w:sdtPr>
      <w:sdtEndPr/>
      <w:sdtContent>
        <w:p w14:paraId="33907DD7" w14:textId="77777777" w:rsidR="00CB4F36" w:rsidRPr="00846D93" w:rsidRDefault="00771A25" w:rsidP="00023E32">
          <w:pPr>
            <w:pStyle w:val="01PointAltN"/>
          </w:pPr>
          <w:r>
            <w:t>Sellegipoolest paistab üpris kindel, et direktiivi 2004/25 artikli 5 lõike 4 teine lõik annab liikmesriikidele õiguse volitada oma väärtpaberijärelevalvet hinda kohandama.</w:t>
          </w:r>
          <w:r w:rsidR="00E51579" w:rsidRPr="00846D93">
            <w:rPr>
              <w:rStyle w:val="FootnoteReference"/>
              <w:lang w:val="en-GB"/>
            </w:rPr>
            <w:footnoteReference w:id="10"/>
          </w:r>
          <w:r>
            <w:t xml:space="preserve"> </w:t>
          </w:r>
          <w:r w:rsidRPr="00287F16">
            <w:rPr>
              <w:highlight w:val="yellow"/>
            </w:rPr>
            <w:t xml:space="preserve">The </w:t>
          </w:r>
          <w:proofErr w:type="spellStart"/>
          <w:r w:rsidRPr="00287F16">
            <w:rPr>
              <w:highlight w:val="yellow"/>
            </w:rPr>
            <w:t>drafting</w:t>
          </w:r>
          <w:proofErr w:type="spellEnd"/>
          <w:r w:rsidRPr="00287F16">
            <w:rPr>
              <w:highlight w:val="yellow"/>
            </w:rPr>
            <w:t xml:space="preserve"> </w:t>
          </w:r>
          <w:proofErr w:type="spellStart"/>
          <w:r w:rsidRPr="00287F16">
            <w:rPr>
              <w:highlight w:val="yellow"/>
            </w:rPr>
            <w:t>history</w:t>
          </w:r>
          <w:proofErr w:type="spellEnd"/>
          <w:r w:rsidRPr="00287F16">
            <w:rPr>
              <w:highlight w:val="yellow"/>
            </w:rPr>
            <w:t xml:space="preserve"> of </w:t>
          </w:r>
          <w:proofErr w:type="spellStart"/>
          <w:r w:rsidRPr="00287F16">
            <w:rPr>
              <w:highlight w:val="yellow"/>
            </w:rPr>
            <w:t>that</w:t>
          </w:r>
          <w:proofErr w:type="spellEnd"/>
          <w:r w:rsidRPr="00287F16">
            <w:rPr>
              <w:highlight w:val="yellow"/>
            </w:rPr>
            <w:t xml:space="preserve"> </w:t>
          </w:r>
          <w:proofErr w:type="spellStart"/>
          <w:r w:rsidRPr="00287F16">
            <w:rPr>
              <w:highlight w:val="yellow"/>
            </w:rPr>
            <w:t>provision</w:t>
          </w:r>
          <w:proofErr w:type="spellEnd"/>
          <w:r w:rsidRPr="00287F16">
            <w:rPr>
              <w:highlight w:val="yellow"/>
            </w:rPr>
            <w:t xml:space="preserve"> </w:t>
          </w:r>
          <w:proofErr w:type="spellStart"/>
          <w:r w:rsidRPr="00287F16">
            <w:rPr>
              <w:highlight w:val="yellow"/>
            </w:rPr>
            <w:t>lends</w:t>
          </w:r>
          <w:proofErr w:type="spellEnd"/>
          <w:r w:rsidRPr="00287F16">
            <w:rPr>
              <w:highlight w:val="yellow"/>
            </w:rPr>
            <w:t xml:space="preserve"> </w:t>
          </w:r>
          <w:proofErr w:type="spellStart"/>
          <w:r w:rsidRPr="00287F16">
            <w:rPr>
              <w:highlight w:val="yellow"/>
            </w:rPr>
            <w:t>support</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view</w:t>
          </w:r>
          <w:proofErr w:type="spellEnd"/>
          <w:r w:rsidRPr="00287F16">
            <w:rPr>
              <w:highlight w:val="yellow"/>
            </w:rPr>
            <w:t>,</w:t>
          </w:r>
          <w:r w:rsidR="006D3691" w:rsidRPr="00287F16">
            <w:rPr>
              <w:rStyle w:val="FootnoteReference"/>
              <w:highlight w:val="yellow"/>
              <w:lang w:val="en-GB"/>
            </w:rPr>
            <w:footnoteReference w:id="11"/>
          </w:r>
          <w:r w:rsidRPr="00287F16">
            <w:rPr>
              <w:highlight w:val="yellow"/>
            </w:rPr>
            <w:t xml:space="preserve"> </w:t>
          </w:r>
          <w:proofErr w:type="spellStart"/>
          <w:r w:rsidRPr="00287F16">
            <w:rPr>
              <w:highlight w:val="yellow"/>
            </w:rPr>
            <w:t>as</w:t>
          </w:r>
          <w:proofErr w:type="spellEnd"/>
          <w:r w:rsidRPr="00287F16">
            <w:rPr>
              <w:highlight w:val="yellow"/>
            </w:rPr>
            <w:t xml:space="preserve"> </w:t>
          </w:r>
          <w:proofErr w:type="spellStart"/>
          <w:r w:rsidRPr="00287F16">
            <w:rPr>
              <w:highlight w:val="yellow"/>
            </w:rPr>
            <w:t>does</w:t>
          </w:r>
          <w:proofErr w:type="spellEnd"/>
          <w:r w:rsidRPr="00287F16">
            <w:rPr>
              <w:highlight w:val="yellow"/>
            </w:rPr>
            <w:t xml:space="preserve"> the </w:t>
          </w:r>
          <w:proofErr w:type="spellStart"/>
          <w:r w:rsidRPr="00287F16">
            <w:rPr>
              <w:highlight w:val="yellow"/>
            </w:rPr>
            <w:t>context</w:t>
          </w:r>
          <w:proofErr w:type="spellEnd"/>
          <w:r w:rsidRPr="00287F16">
            <w:rPr>
              <w:highlight w:val="yellow"/>
            </w:rPr>
            <w:t xml:space="preserve"> in </w:t>
          </w:r>
          <w:proofErr w:type="spellStart"/>
          <w:r w:rsidRPr="00287F16">
            <w:rPr>
              <w:highlight w:val="yellow"/>
            </w:rPr>
            <w:t>which</w:t>
          </w:r>
          <w:proofErr w:type="spellEnd"/>
          <w:r w:rsidRPr="00287F16">
            <w:rPr>
              <w:highlight w:val="yellow"/>
            </w:rPr>
            <w:t xml:space="preserve"> </w:t>
          </w:r>
          <w:proofErr w:type="spellStart"/>
          <w:r w:rsidRPr="00287F16">
            <w:rPr>
              <w:highlight w:val="yellow"/>
            </w:rPr>
            <w:t>it</w:t>
          </w:r>
          <w:proofErr w:type="spellEnd"/>
          <w:r w:rsidRPr="00287F16">
            <w:rPr>
              <w:highlight w:val="yellow"/>
            </w:rPr>
            <w:t xml:space="preserve"> </w:t>
          </w:r>
          <w:proofErr w:type="spellStart"/>
          <w:r w:rsidRPr="00287F16">
            <w:rPr>
              <w:highlight w:val="yellow"/>
            </w:rPr>
            <w:t>appears</w:t>
          </w:r>
          <w:proofErr w:type="spellEnd"/>
          <w:r>
            <w:t xml:space="preserve">. Nagu direktiivi artikli 3 lõikes 2 osutatud, </w:t>
          </w:r>
          <w:r>
            <w:lastRenderedPageBreak/>
            <w:t>määrab direktiiv kindlaks ainult miinimumnõuded</w:t>
          </w:r>
          <w:r w:rsidR="00985159" w:rsidRPr="00846D93">
            <w:rPr>
              <w:rStyle w:val="FootnoteReference"/>
              <w:lang w:val="en-GB"/>
            </w:rPr>
            <w:footnoteReference w:id="12"/>
          </w:r>
          <w:r>
            <w:t xml:space="preserve">, mis tähendab, et liikmesriigid võivad pakkumiste reguleerimiseks vastu võtta täiendavaid, rangemaid tingimusi ja sätteid.  Samamoodi paistab, et direktiivi artikli 4 lõige 5 annab liikmesriikidele laiad volitused direktiivist üldiselt kõrvale kalduda. </w:t>
          </w:r>
        </w:p>
      </w:sdtContent>
    </w:sdt>
    <w:sdt>
      <w:sdtPr>
        <w:alias w:val=""/>
        <w:tag w:val="ccTag86"/>
        <w:id w:val="86"/>
      </w:sdtPr>
      <w:sdtEndPr/>
      <w:sdtContent>
        <w:p w14:paraId="4938661D" w14:textId="77777777" w:rsidR="00023E32" w:rsidRPr="00846D93" w:rsidRDefault="00023E32" w:rsidP="00023E32">
          <w:pPr>
            <w:pStyle w:val="01PointAltN"/>
          </w:pPr>
          <w:r>
            <w:t>Tegelikult tasub meenutada, et direktiiv 2004/25 oli väga suures osas Euroopa Parlamendi ja nõukogu vahelise kompromissi tulemus.</w:t>
          </w:r>
          <w:r w:rsidRPr="00846D93">
            <w:rPr>
              <w:rStyle w:val="FootnoteReference"/>
              <w:lang w:val="en-GB"/>
            </w:rPr>
            <w:footnoteReference w:id="13"/>
          </w:r>
          <w:r>
            <w:t xml:space="preserve"> </w:t>
          </w:r>
          <w:proofErr w:type="spellStart"/>
          <w:r w:rsidRPr="00287F16">
            <w:rPr>
              <w:highlight w:val="yellow"/>
            </w:rPr>
            <w:t>Upon</w:t>
          </w:r>
          <w:proofErr w:type="spellEnd"/>
          <w:r w:rsidRPr="00287F16">
            <w:rPr>
              <w:highlight w:val="yellow"/>
            </w:rPr>
            <w:t xml:space="preserve"> </w:t>
          </w:r>
          <w:proofErr w:type="spellStart"/>
          <w:r w:rsidRPr="00287F16">
            <w:rPr>
              <w:highlight w:val="yellow"/>
            </w:rPr>
            <w:t>reaching</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compromise</w:t>
          </w:r>
          <w:proofErr w:type="spellEnd"/>
          <w:r w:rsidRPr="00287F16">
            <w:rPr>
              <w:highlight w:val="yellow"/>
            </w:rPr>
            <w:t xml:space="preserve">, the </w:t>
          </w:r>
          <w:proofErr w:type="spellStart"/>
          <w:r w:rsidRPr="00287F16">
            <w:rPr>
              <w:highlight w:val="yellow"/>
            </w:rPr>
            <w:t>Commission</w:t>
          </w:r>
          <w:proofErr w:type="spellEnd"/>
          <w:r w:rsidRPr="00287F16">
            <w:rPr>
              <w:highlight w:val="yellow"/>
            </w:rPr>
            <w:t xml:space="preserve">, </w:t>
          </w:r>
          <w:proofErr w:type="spellStart"/>
          <w:r w:rsidRPr="00287F16">
            <w:rPr>
              <w:highlight w:val="yellow"/>
            </w:rPr>
            <w:t>which</w:t>
          </w:r>
          <w:proofErr w:type="spellEnd"/>
          <w:r w:rsidRPr="00287F16">
            <w:rPr>
              <w:highlight w:val="yellow"/>
            </w:rPr>
            <w:t xml:space="preserve"> </w:t>
          </w:r>
          <w:proofErr w:type="spellStart"/>
          <w:r w:rsidRPr="00287F16">
            <w:rPr>
              <w:highlight w:val="yellow"/>
            </w:rPr>
            <w:t>since</w:t>
          </w:r>
          <w:proofErr w:type="spellEnd"/>
          <w:r w:rsidRPr="00287F16">
            <w:rPr>
              <w:highlight w:val="yellow"/>
            </w:rPr>
            <w:t xml:space="preserve"> 1985 </w:t>
          </w:r>
          <w:proofErr w:type="spellStart"/>
          <w:r w:rsidRPr="00287F16">
            <w:rPr>
              <w:highlight w:val="yellow"/>
            </w:rPr>
            <w:t>had</w:t>
          </w:r>
          <w:proofErr w:type="spellEnd"/>
          <w:r w:rsidRPr="00287F16">
            <w:rPr>
              <w:highlight w:val="yellow"/>
            </w:rPr>
            <w:t xml:space="preserve"> </w:t>
          </w:r>
          <w:proofErr w:type="spellStart"/>
          <w:r w:rsidRPr="00287F16">
            <w:rPr>
              <w:highlight w:val="yellow"/>
            </w:rPr>
            <w:t>already</w:t>
          </w:r>
          <w:proofErr w:type="spellEnd"/>
          <w:r w:rsidRPr="00287F16">
            <w:rPr>
              <w:highlight w:val="yellow"/>
            </w:rPr>
            <w:t xml:space="preserve"> </w:t>
          </w:r>
          <w:proofErr w:type="spellStart"/>
          <w:r w:rsidRPr="00287F16">
            <w:rPr>
              <w:highlight w:val="yellow"/>
            </w:rPr>
            <w:t>hinted</w:t>
          </w:r>
          <w:proofErr w:type="spellEnd"/>
          <w:r w:rsidRPr="00287F16">
            <w:rPr>
              <w:highlight w:val="yellow"/>
            </w:rPr>
            <w:t xml:space="preserve"> at the </w:t>
          </w:r>
          <w:proofErr w:type="spellStart"/>
          <w:r w:rsidRPr="00287F16">
            <w:rPr>
              <w:highlight w:val="yellow"/>
            </w:rPr>
            <w:t>idea</w:t>
          </w:r>
          <w:proofErr w:type="spellEnd"/>
          <w:r w:rsidRPr="00287F16">
            <w:rPr>
              <w:highlight w:val="yellow"/>
            </w:rPr>
            <w:t xml:space="preserve"> of </w:t>
          </w:r>
          <w:proofErr w:type="spellStart"/>
          <w:r w:rsidRPr="00287F16">
            <w:rPr>
              <w:highlight w:val="yellow"/>
            </w:rPr>
            <w:t>common</w:t>
          </w:r>
          <w:proofErr w:type="spellEnd"/>
          <w:r w:rsidRPr="00287F16">
            <w:rPr>
              <w:highlight w:val="yellow"/>
            </w:rPr>
            <w:t xml:space="preserve"> </w:t>
          </w:r>
          <w:proofErr w:type="spellStart"/>
          <w:r w:rsidRPr="00287F16">
            <w:rPr>
              <w:highlight w:val="yellow"/>
            </w:rPr>
            <w:t>procedural</w:t>
          </w:r>
          <w:proofErr w:type="spellEnd"/>
          <w:r w:rsidRPr="00287F16">
            <w:rPr>
              <w:highlight w:val="yellow"/>
            </w:rPr>
            <w:t xml:space="preserve"> </w:t>
          </w:r>
          <w:proofErr w:type="spellStart"/>
          <w:r w:rsidRPr="00287F16">
            <w:rPr>
              <w:highlight w:val="yellow"/>
            </w:rPr>
            <w:t>rules</w:t>
          </w:r>
          <w:proofErr w:type="spellEnd"/>
          <w:r w:rsidRPr="00287F16">
            <w:rPr>
              <w:highlight w:val="yellow"/>
            </w:rPr>
            <w:t xml:space="preserve"> </w:t>
          </w:r>
          <w:proofErr w:type="spellStart"/>
          <w:r w:rsidRPr="00287F16">
            <w:rPr>
              <w:highlight w:val="yellow"/>
            </w:rPr>
            <w:t>governing</w:t>
          </w:r>
          <w:proofErr w:type="spellEnd"/>
          <w:r w:rsidRPr="00287F16">
            <w:rPr>
              <w:highlight w:val="yellow"/>
            </w:rPr>
            <w:t xml:space="preserve"> </w:t>
          </w:r>
          <w:proofErr w:type="spellStart"/>
          <w:r w:rsidRPr="00287F16">
            <w:rPr>
              <w:highlight w:val="yellow"/>
            </w:rPr>
            <w:t>changes</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share</w:t>
          </w:r>
          <w:proofErr w:type="spellEnd"/>
          <w:r w:rsidRPr="00287F16">
            <w:rPr>
              <w:highlight w:val="yellow"/>
            </w:rPr>
            <w:t xml:space="preserve"> </w:t>
          </w:r>
          <w:proofErr w:type="spellStart"/>
          <w:r w:rsidRPr="00287F16">
            <w:rPr>
              <w:highlight w:val="yellow"/>
            </w:rPr>
            <w:t>ownership</w:t>
          </w:r>
          <w:proofErr w:type="spellEnd"/>
          <w:r w:rsidRPr="00287F16">
            <w:rPr>
              <w:rStyle w:val="FootnoteReference"/>
              <w:highlight w:val="yellow"/>
              <w:lang w:val="en-GB"/>
            </w:rPr>
            <w:footnoteReference w:id="14"/>
          </w:r>
          <w:r w:rsidRPr="00287F16">
            <w:rPr>
              <w:highlight w:val="yellow"/>
            </w:rPr>
            <w:t xml:space="preserve"> and </w:t>
          </w:r>
          <w:proofErr w:type="spellStart"/>
          <w:r w:rsidRPr="00287F16">
            <w:rPr>
              <w:highlight w:val="yellow"/>
            </w:rPr>
            <w:t>had</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end — </w:t>
          </w:r>
          <w:proofErr w:type="spellStart"/>
          <w:r w:rsidRPr="00287F16">
            <w:rPr>
              <w:highlight w:val="yellow"/>
            </w:rPr>
            <w:t>unsuccessfully</w:t>
          </w:r>
          <w:proofErr w:type="spellEnd"/>
          <w:r w:rsidRPr="00287F16">
            <w:rPr>
              <w:highlight w:val="yellow"/>
            </w:rPr>
            <w:t xml:space="preserve"> — </w:t>
          </w:r>
          <w:proofErr w:type="spellStart"/>
          <w:r w:rsidRPr="00287F16">
            <w:rPr>
              <w:highlight w:val="yellow"/>
            </w:rPr>
            <w:t>submitted</w:t>
          </w:r>
          <w:proofErr w:type="spellEnd"/>
          <w:r w:rsidRPr="00287F16">
            <w:rPr>
              <w:highlight w:val="yellow"/>
            </w:rPr>
            <w:t xml:space="preserve"> </w:t>
          </w:r>
          <w:proofErr w:type="spellStart"/>
          <w:r w:rsidRPr="00287F16">
            <w:rPr>
              <w:highlight w:val="yellow"/>
            </w:rPr>
            <w:t>several</w:t>
          </w:r>
          <w:proofErr w:type="spellEnd"/>
          <w:r w:rsidRPr="00287F16">
            <w:rPr>
              <w:highlight w:val="yellow"/>
            </w:rPr>
            <w:t xml:space="preserve"> </w:t>
          </w:r>
          <w:proofErr w:type="spellStart"/>
          <w:r w:rsidRPr="00287F16">
            <w:rPr>
              <w:highlight w:val="yellow"/>
            </w:rPr>
            <w:t>legislative</w:t>
          </w:r>
          <w:proofErr w:type="spellEnd"/>
          <w:r w:rsidRPr="00287F16">
            <w:rPr>
              <w:highlight w:val="yellow"/>
            </w:rPr>
            <w:t xml:space="preserve"> </w:t>
          </w:r>
          <w:proofErr w:type="spellStart"/>
          <w:r w:rsidRPr="00287F16">
            <w:rPr>
              <w:highlight w:val="yellow"/>
            </w:rPr>
            <w:t>proposals</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the EU </w:t>
          </w:r>
          <w:proofErr w:type="spellStart"/>
          <w:r w:rsidRPr="00287F16">
            <w:rPr>
              <w:highlight w:val="yellow"/>
            </w:rPr>
            <w:t>legislature</w:t>
          </w:r>
          <w:proofErr w:type="spellEnd"/>
          <w:r w:rsidRPr="00287F16">
            <w:rPr>
              <w:highlight w:val="yellow"/>
            </w:rPr>
            <w:t xml:space="preserve"> on </w:t>
          </w:r>
          <w:proofErr w:type="spellStart"/>
          <w:r w:rsidRPr="00287F16">
            <w:rPr>
              <w:highlight w:val="yellow"/>
            </w:rPr>
            <w:t>that</w:t>
          </w:r>
          <w:proofErr w:type="spellEnd"/>
          <w:r w:rsidRPr="00287F16">
            <w:rPr>
              <w:highlight w:val="yellow"/>
            </w:rPr>
            <w:t xml:space="preserve"> </w:t>
          </w:r>
          <w:proofErr w:type="spellStart"/>
          <w:r w:rsidRPr="00287F16">
            <w:rPr>
              <w:highlight w:val="yellow"/>
            </w:rPr>
            <w:t>topic</w:t>
          </w:r>
          <w:proofErr w:type="spellEnd"/>
          <w:r w:rsidRPr="00287F16">
            <w:rPr>
              <w:highlight w:val="yellow"/>
            </w:rPr>
            <w:t>,</w:t>
          </w:r>
          <w:r w:rsidRPr="00287F16">
            <w:rPr>
              <w:rStyle w:val="FootnoteReference"/>
              <w:highlight w:val="yellow"/>
              <w:lang w:val="en-GB"/>
            </w:rPr>
            <w:footnoteReference w:id="15"/>
          </w:r>
          <w:r w:rsidRPr="00287F16">
            <w:rPr>
              <w:highlight w:val="yellow"/>
            </w:rPr>
            <w:t xml:space="preserve"> </w:t>
          </w:r>
          <w:proofErr w:type="spellStart"/>
          <w:r w:rsidRPr="00287F16">
            <w:rPr>
              <w:highlight w:val="yellow"/>
            </w:rPr>
            <w:t>issued</w:t>
          </w:r>
          <w:proofErr w:type="spellEnd"/>
          <w:r w:rsidRPr="00287F16">
            <w:rPr>
              <w:highlight w:val="yellow"/>
            </w:rPr>
            <w:t xml:space="preserve"> a </w:t>
          </w:r>
          <w:proofErr w:type="spellStart"/>
          <w:r w:rsidRPr="00287F16">
            <w:rPr>
              <w:highlight w:val="yellow"/>
            </w:rPr>
            <w:t>statement</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be</w:t>
          </w:r>
          <w:proofErr w:type="spellEnd"/>
          <w:r w:rsidRPr="00287F16">
            <w:rPr>
              <w:highlight w:val="yellow"/>
            </w:rPr>
            <w:t xml:space="preserve"> </w:t>
          </w:r>
          <w:proofErr w:type="spellStart"/>
          <w:r w:rsidRPr="00287F16">
            <w:rPr>
              <w:highlight w:val="yellow"/>
            </w:rPr>
            <w:t>added</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the </w:t>
          </w:r>
          <w:proofErr w:type="spellStart"/>
          <w:r w:rsidRPr="00287F16">
            <w:rPr>
              <w:highlight w:val="yellow"/>
            </w:rPr>
            <w:t>Council</w:t>
          </w:r>
          <w:proofErr w:type="spellEnd"/>
          <w:r w:rsidRPr="00287F16">
            <w:rPr>
              <w:highlight w:val="yellow"/>
            </w:rPr>
            <w:t xml:space="preserve"> minutes </w:t>
          </w:r>
          <w:proofErr w:type="spellStart"/>
          <w:r w:rsidRPr="00287F16">
            <w:rPr>
              <w:highlight w:val="yellow"/>
            </w:rPr>
            <w:t>expressing</w:t>
          </w:r>
          <w:proofErr w:type="spellEnd"/>
          <w:r w:rsidRPr="00287F16">
            <w:rPr>
              <w:highlight w:val="yellow"/>
            </w:rPr>
            <w:t xml:space="preserve"> </w:t>
          </w:r>
          <w:proofErr w:type="spellStart"/>
          <w:r w:rsidRPr="00287F16">
            <w:rPr>
              <w:highlight w:val="yellow"/>
            </w:rPr>
            <w:t>its</w:t>
          </w:r>
          <w:proofErr w:type="spellEnd"/>
          <w:r w:rsidRPr="00287F16">
            <w:rPr>
              <w:highlight w:val="yellow"/>
            </w:rPr>
            <w:t xml:space="preserve"> </w:t>
          </w:r>
          <w:proofErr w:type="spellStart"/>
          <w:r w:rsidRPr="00287F16">
            <w:rPr>
              <w:highlight w:val="yellow"/>
            </w:rPr>
            <w:t>regret</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the </w:t>
          </w:r>
          <w:proofErr w:type="spellStart"/>
          <w:r w:rsidRPr="00287F16">
            <w:rPr>
              <w:highlight w:val="yellow"/>
            </w:rPr>
            <w:t>text</w:t>
          </w:r>
          <w:proofErr w:type="spellEnd"/>
          <w:r w:rsidRPr="00287F16">
            <w:rPr>
              <w:highlight w:val="yellow"/>
            </w:rPr>
            <w:t xml:space="preserve"> </w:t>
          </w:r>
          <w:proofErr w:type="spellStart"/>
          <w:r w:rsidRPr="00287F16">
            <w:rPr>
              <w:highlight w:val="yellow"/>
            </w:rPr>
            <w:t>finally</w:t>
          </w:r>
          <w:proofErr w:type="spellEnd"/>
          <w:r w:rsidRPr="00287F16">
            <w:rPr>
              <w:highlight w:val="yellow"/>
            </w:rPr>
            <w:t xml:space="preserve"> </w:t>
          </w:r>
          <w:proofErr w:type="spellStart"/>
          <w:r w:rsidRPr="00287F16">
            <w:rPr>
              <w:highlight w:val="yellow"/>
            </w:rPr>
            <w:t>adopted</w:t>
          </w:r>
          <w:proofErr w:type="spellEnd"/>
          <w:r w:rsidRPr="00287F16">
            <w:rPr>
              <w:highlight w:val="yellow"/>
            </w:rPr>
            <w:t xml:space="preserve"> </w:t>
          </w:r>
          <w:proofErr w:type="spellStart"/>
          <w:r w:rsidRPr="00287F16">
            <w:rPr>
              <w:highlight w:val="yellow"/>
            </w:rPr>
            <w:t>was</w:t>
          </w:r>
          <w:proofErr w:type="spellEnd"/>
          <w:r w:rsidRPr="00287F16">
            <w:rPr>
              <w:highlight w:val="yellow"/>
            </w:rPr>
            <w:t xml:space="preserve"> </w:t>
          </w:r>
          <w:proofErr w:type="spellStart"/>
          <w:r w:rsidRPr="00287F16">
            <w:rPr>
              <w:highlight w:val="yellow"/>
            </w:rPr>
            <w:t>not</w:t>
          </w:r>
          <w:proofErr w:type="spellEnd"/>
          <w:r w:rsidRPr="00287F16">
            <w:rPr>
              <w:highlight w:val="yellow"/>
            </w:rPr>
            <w:t xml:space="preserve">, in </w:t>
          </w:r>
          <w:proofErr w:type="spellStart"/>
          <w:r w:rsidRPr="00287F16">
            <w:rPr>
              <w:highlight w:val="yellow"/>
            </w:rPr>
            <w:t>its</w:t>
          </w:r>
          <w:proofErr w:type="spellEnd"/>
          <w:r w:rsidRPr="00287F16">
            <w:rPr>
              <w:highlight w:val="yellow"/>
            </w:rPr>
            <w:t xml:space="preserve"> </w:t>
          </w:r>
          <w:proofErr w:type="spellStart"/>
          <w:r w:rsidRPr="00287F16">
            <w:rPr>
              <w:highlight w:val="yellow"/>
            </w:rPr>
            <w:t>view</w:t>
          </w:r>
          <w:proofErr w:type="spellEnd"/>
          <w:r w:rsidRPr="00287F16">
            <w:rPr>
              <w:highlight w:val="yellow"/>
            </w:rPr>
            <w:t xml:space="preserve">, </w:t>
          </w:r>
          <w:proofErr w:type="spellStart"/>
          <w:r w:rsidRPr="00287F16">
            <w:rPr>
              <w:highlight w:val="yellow"/>
            </w:rPr>
            <w:t>sufficiently</w:t>
          </w:r>
          <w:proofErr w:type="spellEnd"/>
          <w:r w:rsidRPr="00287F16">
            <w:rPr>
              <w:highlight w:val="yellow"/>
            </w:rPr>
            <w:t xml:space="preserve"> </w:t>
          </w:r>
          <w:proofErr w:type="spellStart"/>
          <w:r w:rsidRPr="00287F16">
            <w:rPr>
              <w:highlight w:val="yellow"/>
            </w:rPr>
            <w:t>ambitious</w:t>
          </w:r>
          <w:proofErr w:type="spellEnd"/>
          <w:r w:rsidRPr="00287F16">
            <w:rPr>
              <w:highlight w:val="yellow"/>
            </w:rPr>
            <w:t xml:space="preserve">, and </w:t>
          </w:r>
          <w:proofErr w:type="spellStart"/>
          <w:r w:rsidRPr="00287F16">
            <w:rPr>
              <w:highlight w:val="yellow"/>
            </w:rPr>
            <w:t>that</w:t>
          </w:r>
          <w:proofErr w:type="spellEnd"/>
          <w:r w:rsidRPr="00287F16">
            <w:rPr>
              <w:highlight w:val="yellow"/>
            </w:rPr>
            <w:t xml:space="preserve"> </w:t>
          </w:r>
          <w:proofErr w:type="spellStart"/>
          <w:r w:rsidRPr="00287F16">
            <w:rPr>
              <w:highlight w:val="yellow"/>
            </w:rPr>
            <w:t>crucial</w:t>
          </w:r>
          <w:proofErr w:type="spellEnd"/>
          <w:r w:rsidRPr="00287F16">
            <w:rPr>
              <w:highlight w:val="yellow"/>
            </w:rPr>
            <w:t xml:space="preserve"> parts </w:t>
          </w:r>
          <w:proofErr w:type="spellStart"/>
          <w:r w:rsidRPr="00287F16">
            <w:rPr>
              <w:highlight w:val="yellow"/>
            </w:rPr>
            <w:t>had</w:t>
          </w:r>
          <w:proofErr w:type="spellEnd"/>
          <w:r w:rsidRPr="00287F16">
            <w:rPr>
              <w:highlight w:val="yellow"/>
            </w:rPr>
            <w:t xml:space="preserve"> </w:t>
          </w:r>
          <w:proofErr w:type="spellStart"/>
          <w:r w:rsidRPr="00287F16">
            <w:rPr>
              <w:highlight w:val="yellow"/>
            </w:rPr>
            <w:t>become</w:t>
          </w:r>
          <w:proofErr w:type="spellEnd"/>
          <w:r w:rsidRPr="00287F16">
            <w:rPr>
              <w:highlight w:val="yellow"/>
            </w:rPr>
            <w:t xml:space="preserve"> </w:t>
          </w:r>
          <w:proofErr w:type="spellStart"/>
          <w:r w:rsidRPr="00287F16">
            <w:rPr>
              <w:highlight w:val="yellow"/>
            </w:rPr>
            <w:t>optional</w:t>
          </w:r>
          <w:proofErr w:type="spellEnd"/>
          <w:r>
            <w:t>.</w:t>
          </w:r>
          <w:r w:rsidRPr="00846D93">
            <w:rPr>
              <w:rStyle w:val="FootnoteReference"/>
              <w:lang w:val="en-GB"/>
            </w:rPr>
            <w:footnoteReference w:id="16"/>
          </w:r>
          <w:r>
            <w:t xml:space="preserve"> See ajalooline nüanss mõjutab kahtlemata ka direktiivi 2004/25 tõlgendamist.</w:t>
          </w:r>
        </w:p>
      </w:sdtContent>
    </w:sdt>
    <w:sdt>
      <w:sdtPr>
        <w:alias w:val=""/>
        <w:tag w:val="ccTag87"/>
        <w:id w:val="87"/>
      </w:sdtPr>
      <w:sdtEndPr/>
      <w:sdtContent>
        <w:p w14:paraId="13B24B8B" w14:textId="77777777" w:rsidR="00A10397" w:rsidRPr="00846D93" w:rsidRDefault="00C72F32" w:rsidP="00A10397">
          <w:pPr>
            <w:pStyle w:val="01PointAltN"/>
          </w:pPr>
          <w:r>
            <w:t xml:space="preserve">Sellegipoolest ei ole direktiivi 2004/25 artikli 5 lõikega 4 liikmesriikidele jäetud kaalutlusõigus </w:t>
          </w:r>
          <w:commentRangeStart w:id="5"/>
          <w:r>
            <w:t>piiritu</w:t>
          </w:r>
          <w:commentRangeEnd w:id="5"/>
          <w:r>
            <w:rPr>
              <w:rStyle w:val="CommentReference"/>
            </w:rPr>
            <w:commentReference w:id="5"/>
          </w:r>
          <w:r>
            <w:t>.</w:t>
          </w:r>
          <w:r w:rsidR="00AB78FB" w:rsidRPr="00846D93">
            <w:rPr>
              <w:rStyle w:val="FootnoteReference"/>
              <w:lang w:val="en-GB"/>
            </w:rPr>
            <w:footnoteReference w:id="17"/>
          </w:r>
        </w:p>
      </w:sdtContent>
    </w:sdt>
    <w:sdt>
      <w:sdtPr>
        <w:alias w:val=""/>
        <w:tag w:val="ccTag88"/>
        <w:id w:val="88"/>
      </w:sdtPr>
      <w:sdtEndPr/>
      <w:sdtContent>
        <w:p w14:paraId="3A08C147" w14:textId="77777777" w:rsidR="006E7B7B" w:rsidRPr="00846D93" w:rsidRDefault="00553989" w:rsidP="006E7B7B">
          <w:pPr>
            <w:pStyle w:val="23Titrenumerote3"/>
          </w:pPr>
          <w:r>
            <w:t>Liikmesriikide kaalutlusõiguse piirid</w:t>
          </w:r>
        </w:p>
      </w:sdtContent>
    </w:sdt>
    <w:sdt>
      <w:sdtPr>
        <w:alias w:val=""/>
        <w:tag w:val="ccTag89"/>
        <w:id w:val="89"/>
      </w:sdtPr>
      <w:sdtEndPr/>
      <w:sdtContent>
        <w:p w14:paraId="7CEB99F4" w14:textId="77777777" w:rsidR="006E7B7B" w:rsidRPr="00846D93" w:rsidRDefault="006E7B7B" w:rsidP="006E7B7B">
          <w:pPr>
            <w:pStyle w:val="24Titrenumerote4"/>
          </w:pPr>
          <w:r>
            <w:t>Aluspõhimõtted</w:t>
          </w:r>
        </w:p>
      </w:sdtContent>
    </w:sdt>
    <w:sdt>
      <w:sdtPr>
        <w:alias w:val=""/>
        <w:tag w:val="ccTag90"/>
        <w:id w:val="90"/>
      </w:sdtPr>
      <w:sdtEndPr/>
      <w:sdtContent>
        <w:p w14:paraId="757E2BAF" w14:textId="77777777" w:rsidR="0019073C" w:rsidRPr="00846D93" w:rsidRDefault="0019073C" w:rsidP="0019073C">
          <w:pPr>
            <w:pStyle w:val="01PointAltN"/>
          </w:pPr>
          <w:r>
            <w:t xml:space="preserve">Alustuseks: kõrgeima hinna reegel jääb endiselt põhireegliks. Ja selle reegli taga on loogika: liidu kapitaliturgude tõhusaks toimimiseks on vaja, et </w:t>
          </w:r>
          <w:r>
            <w:lastRenderedPageBreak/>
            <w:t xml:space="preserve">kohustuslikus pakkumises pakutav </w:t>
          </w:r>
          <w:commentRangeStart w:id="6"/>
          <w:r>
            <w:t>tasu</w:t>
          </w:r>
          <w:commentRangeEnd w:id="6"/>
          <w:r>
            <w:rPr>
              <w:rStyle w:val="CommentReference"/>
            </w:rPr>
            <w:commentReference w:id="6"/>
          </w:r>
          <w:r>
            <w:t xml:space="preserve"> oleks piisavalt prognoositav. Sellega seoses on kõrgeima hinna reeglil kaks eelist: esiteks annab see vähemusaktsionäridele võimaluse saada osa vaatlusaluse perioodi jooksul kogu ülevõtja makstud tasust ja teiseks annab samal ajal pakkumise tegijale kindluse, et ta ei pea kohustuslikus pakkumises pakkuma rohkem, kui ta on sellele eelneval perioodil olnud valmis maksma, mistõttu ta saab enda jaoks ära otsustada, milline on see kõrgeim hind, millega ta on valmis kõiki äriühingu väärtpabereid ära ostma.</w:t>
          </w:r>
          <w:r w:rsidRPr="00846D93">
            <w:rPr>
              <w:rStyle w:val="FootnoteReference"/>
              <w:lang w:val="en-GB"/>
            </w:rPr>
            <w:footnoteReference w:id="18"/>
          </w:r>
          <w:r>
            <w:t xml:space="preserve"> Seega tuleb seda reeglit struktuurilisest seisukohast vaadates tõlgendada laialt. Järelikult peaksid liikmesriigid sellest kõrvale kalduda saama ainult olulise piires.</w:t>
          </w:r>
          <w:r w:rsidRPr="00846D93">
            <w:rPr>
              <w:rStyle w:val="FootnoteReference"/>
              <w:lang w:val="en-GB"/>
            </w:rPr>
            <w:footnoteReference w:id="19"/>
          </w:r>
          <w:r>
            <w:t xml:space="preserve"> Lisaks peaks kõrgeima hinna reegli ja sellest tuleneva kahe garantii kohaldamata jätmise katse põhinema usutavatel põhjustel ning lisaks olema põhjendatav direktiivi artikli 5 lõike 4 kolmanda lõigu alusel.</w:t>
          </w:r>
        </w:p>
      </w:sdtContent>
    </w:sdt>
    <w:sdt>
      <w:sdtPr>
        <w:alias w:val=""/>
        <w:tag w:val="ccTag91"/>
        <w:id w:val="91"/>
      </w:sdtPr>
      <w:sdtEndPr/>
      <w:sdtContent>
        <w:p w14:paraId="045ED722" w14:textId="77777777" w:rsidR="0019073C" w:rsidRPr="00846D93" w:rsidRDefault="0019073C" w:rsidP="0019073C">
          <w:pPr>
            <w:pStyle w:val="01PointAltN"/>
          </w:pPr>
          <w:r>
            <w:t>Teiseks peavad liikmesriigid oma kaalutlusõiguse kasutamisel järgima direktiivi artikli 3 lõikes 1 sätestatud põhimõtteid. Liikmesriigid peavad neist põhimõtetest juhinduma direktiivi rakendamisel.</w:t>
          </w:r>
          <w:r w:rsidRPr="00846D93">
            <w:rPr>
              <w:rStyle w:val="FootnoteReference"/>
              <w:lang w:val="en-GB"/>
            </w:rPr>
            <w:footnoteReference w:id="20"/>
          </w:r>
        </w:p>
      </w:sdtContent>
    </w:sdt>
    <w:sdt>
      <w:sdtPr>
        <w:alias w:val=""/>
        <w:tag w:val="ccTag92"/>
        <w:id w:val="92"/>
      </w:sdtPr>
      <w:sdtEndPr/>
      <w:sdtContent>
        <w:p w14:paraId="456FDEE3" w14:textId="77777777" w:rsidR="00226E58" w:rsidRPr="00846D93" w:rsidRDefault="00D22622" w:rsidP="00226E58">
          <w:pPr>
            <w:pStyle w:val="01PointAltN"/>
          </w:pPr>
          <w:r>
            <w:t xml:space="preserve">Põhikohtuasjas olulises osas aga seda ohtu nendele põhimõtetele ei teki. Eelkõige ei näe ma, et oleks rikutud </w:t>
          </w:r>
          <w:proofErr w:type="spellStart"/>
          <w:r>
            <w:t>Camfini</w:t>
          </w:r>
          <w:proofErr w:type="spellEnd"/>
          <w:r>
            <w:t xml:space="preserve"> aktsionäride menetlusõigusi või nende õigust võrdväärsele kohtlemisele: vaidlusaluste Itaalia õigusnormide kohaselt on põhjendatud tegelikult ainult hinna </w:t>
          </w:r>
          <w:r>
            <w:rPr>
              <w:i/>
            </w:rPr>
            <w:t>tõstmine</w:t>
          </w:r>
          <w:r>
            <w:t xml:space="preserve"> sobingu korral.</w:t>
          </w:r>
          <w:r w:rsidR="00053968" w:rsidRPr="00846D93">
            <w:rPr>
              <w:rStyle w:val="FootnoteReference"/>
              <w:lang w:val="en-GB"/>
            </w:rPr>
            <w:footnoteReference w:id="21"/>
          </w:r>
        </w:p>
      </w:sdtContent>
    </w:sdt>
    <w:sdt>
      <w:sdtPr>
        <w:alias w:val=""/>
        <w:tag w:val="ccTag93"/>
        <w:id w:val="93"/>
      </w:sdtPr>
      <w:sdtEndPr/>
      <w:sdtContent>
        <w:p w14:paraId="6FC67265" w14:textId="77777777" w:rsidR="00F74C3E" w:rsidRPr="00846D93" w:rsidRDefault="00732A03" w:rsidP="00F74C3E">
          <w:pPr>
            <w:pStyle w:val="01PointAltN"/>
          </w:pPr>
          <w:r>
            <w:t xml:space="preserve">Enamgi veel, mitte ükski neist üldpõhimõtetest ei viita sõnaselgelt eesmärgile tagada prognoositavust pakkumise tegija või laiema üldsuse jaoks – see nähtub hoopis direktiivi 2004/25 põhjendustest, mida ma käsitlen allpool punktis </w:t>
          </w:r>
          <w:r w:rsidR="00183E85" w:rsidRPr="00846D93">
            <w:fldChar w:fldCharType="begin"/>
          </w:r>
          <w:r w:rsidR="00183E85" w:rsidRPr="00846D93">
            <w:instrText xml:space="preserve"> REF _Ref473731591 \r \h </w:instrText>
          </w:r>
          <w:r w:rsidR="00183E85" w:rsidRPr="00846D93">
            <w:fldChar w:fldCharType="separate"/>
          </w:r>
          <w:r w:rsidR="003809A7">
            <w:t>59</w:t>
          </w:r>
          <w:r w:rsidR="00183E85" w:rsidRPr="00846D93">
            <w:fldChar w:fldCharType="end"/>
          </w:r>
          <w:r>
            <w:t>.</w:t>
          </w:r>
        </w:p>
      </w:sdtContent>
    </w:sdt>
    <w:sdt>
      <w:sdtPr>
        <w:alias w:val=""/>
        <w:tag w:val="ccTag94"/>
        <w:id w:val="94"/>
      </w:sdtPr>
      <w:sdtEndPr/>
      <w:sdtContent>
        <w:p w14:paraId="2B1F74EB" w14:textId="77777777" w:rsidR="00A94542" w:rsidRPr="00846D93" w:rsidRDefault="00732A03" w:rsidP="00732A03">
          <w:pPr>
            <w:pStyle w:val="01PointAltN"/>
          </w:pPr>
          <w:r>
            <w:t xml:space="preserve">Direktiivi 2004/25 artikli 3 lõike 1 punkt d sätestab hoopis üldpõhimõtte, et pakkumise objektiks oleva ettevõtte, pakkumist esitava ettevõtte või mõne muu, pakkumise mõjupiirkonnas oleva ettevõtte väärtpaberiturul ei tohi tekkida moonutusi nii, et asjaomaste väärtpaberite kurss tõuseb või langeb kunstlikult ning </w:t>
          </w:r>
          <w:r>
            <w:lastRenderedPageBreak/>
            <w:t xml:space="preserve">turu normaalne funktsioneerimine on häiritud. Seega toetab see üldpõhimõte selgesti seisukohta, et liikmesriik võib oma väärtpaberijärelevalvet volitada ülevõtmispakkumises pakutavat hinda kohandama kitsas mõttes. Seda kinnitab direktiivi 2004/25 artikli 5 lõige 4, mis näeb konkreetselt ette olukordi, kus „kõrgeima hinna suhtes on kokku lepitud ostja ja müüja vahelise lepinguga“ või „kui asjaomaste väärtpaberite turuhindadega on manipuleeritud“. </w:t>
          </w:r>
        </w:p>
      </w:sdtContent>
    </w:sdt>
    <w:sdt>
      <w:sdtPr>
        <w:alias w:val=""/>
        <w:tag w:val="ccTag95"/>
        <w:id w:val="95"/>
      </w:sdtPr>
      <w:sdtEndPr/>
      <w:sdtContent>
        <w:p w14:paraId="70D52852" w14:textId="77777777" w:rsidR="001437CC" w:rsidRPr="00846D93" w:rsidRDefault="00306590" w:rsidP="001437CC">
          <w:pPr>
            <w:pStyle w:val="01PointAltN"/>
          </w:pPr>
          <w:r>
            <w:t>Kui aga kõne all on eelotsusetaotluse esitanud kohtu nimetatud mõiste „sobing“ lai tõlgendamine, ei ole need üldpõhimõtted sugugi nii selged. Sellegipoolest ei saa see tõlgendamine minna nendega vastuollu.</w:t>
          </w:r>
        </w:p>
      </w:sdtContent>
    </w:sdt>
    <w:sdt>
      <w:sdtPr>
        <w:alias w:val=""/>
        <w:tag w:val="ccTag96"/>
        <w:id w:val="96"/>
      </w:sdtPr>
      <w:sdtEndPr/>
      <w:sdtContent>
        <w:p w14:paraId="3C78C089" w14:textId="77777777" w:rsidR="00D40073" w:rsidRPr="00846D93" w:rsidRDefault="00607557" w:rsidP="00D40073">
          <w:pPr>
            <w:pStyle w:val="01PointAltN"/>
          </w:pPr>
          <w:r>
            <w:t>Vastupidi, äriühinguõiguse ülevõtmispakkumistega seotud aspektide eks</w:t>
          </w:r>
          <w:commentRangeStart w:id="7"/>
          <w:commentRangeStart w:id="8"/>
          <w:r>
            <w:t>pertide kõrgetasemeline r</w:t>
          </w:r>
          <w:commentRangeEnd w:id="7"/>
          <w:r>
            <w:rPr>
              <w:rStyle w:val="CommentReference"/>
            </w:rPr>
            <w:commentReference w:id="7"/>
          </w:r>
          <w:commentRangeEnd w:id="8"/>
          <w:r>
            <w:rPr>
              <w:rStyle w:val="CommentReference"/>
            </w:rPr>
            <w:commentReference w:id="8"/>
          </w:r>
          <w:r>
            <w:t>ühm nimetas sobingu mõistet oma soovitustes, mis kuuluvad direktiivi 2004/25 artikli 5 lõike 4 ettevalmistavate materjalide hulka, „selliseks kokkuleppeks müüjaga, mille eesmärk on kõrvale hoida kõrgeima hinna reeglist“.</w:t>
          </w:r>
          <w:r w:rsidRPr="00846D93">
            <w:rPr>
              <w:rStyle w:val="FootnoteReference"/>
              <w:lang w:val="en-GB"/>
            </w:rPr>
            <w:footnoteReference w:id="22"/>
          </w:r>
          <w: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definition</w:t>
          </w:r>
          <w:proofErr w:type="spellEnd"/>
          <w:r w:rsidRPr="00287F16">
            <w:rPr>
              <w:highlight w:val="yellow"/>
            </w:rPr>
            <w:t xml:space="preserve">, </w:t>
          </w:r>
          <w:proofErr w:type="spellStart"/>
          <w:r w:rsidRPr="00287F16">
            <w:rPr>
              <w:highlight w:val="yellow"/>
            </w:rPr>
            <w:t>which</w:t>
          </w:r>
          <w:proofErr w:type="spellEnd"/>
          <w:r w:rsidRPr="00287F16">
            <w:rPr>
              <w:highlight w:val="yellow"/>
            </w:rPr>
            <w:t xml:space="preserve"> </w:t>
          </w:r>
          <w:proofErr w:type="spellStart"/>
          <w:r w:rsidRPr="00287F16">
            <w:rPr>
              <w:highlight w:val="yellow"/>
            </w:rPr>
            <w:t>unilaterally</w:t>
          </w:r>
          <w:proofErr w:type="spellEnd"/>
          <w:r w:rsidRPr="00287F16">
            <w:rPr>
              <w:highlight w:val="yellow"/>
            </w:rPr>
            <w:t xml:space="preserve"> </w:t>
          </w:r>
          <w:proofErr w:type="spellStart"/>
          <w:r w:rsidRPr="00287F16">
            <w:rPr>
              <w:highlight w:val="yellow"/>
            </w:rPr>
            <w:t>focuses</w:t>
          </w:r>
          <w:proofErr w:type="spellEnd"/>
          <w:r w:rsidRPr="00287F16">
            <w:rPr>
              <w:highlight w:val="yellow"/>
            </w:rPr>
            <w:t xml:space="preserve"> on the seller, </w:t>
          </w:r>
          <w:proofErr w:type="spellStart"/>
          <w:r w:rsidRPr="00287F16">
            <w:rPr>
              <w:highlight w:val="yellow"/>
            </w:rPr>
            <w:t>seems</w:t>
          </w:r>
          <w:proofErr w:type="spellEnd"/>
          <w:r w:rsidRPr="00287F16">
            <w:rPr>
              <w:highlight w:val="yellow"/>
            </w:rPr>
            <w:t xml:space="preserve"> </w:t>
          </w:r>
          <w:proofErr w:type="spellStart"/>
          <w:r w:rsidRPr="00287F16">
            <w:rPr>
              <w:highlight w:val="yellow"/>
            </w:rPr>
            <w:t>wide</w:t>
          </w:r>
          <w:proofErr w:type="spellEnd"/>
          <w:r w:rsidRPr="00287F16">
            <w:rPr>
              <w:highlight w:val="yellow"/>
            </w:rPr>
            <w:t xml:space="preserve"> </w:t>
          </w:r>
          <w:proofErr w:type="spellStart"/>
          <w:r w:rsidRPr="00287F16">
            <w:rPr>
              <w:highlight w:val="yellow"/>
            </w:rPr>
            <w:t>enough</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cover</w:t>
          </w:r>
          <w:proofErr w:type="spellEnd"/>
          <w:r w:rsidRPr="00287F16">
            <w:rPr>
              <w:highlight w:val="yellow"/>
            </w:rPr>
            <w:t xml:space="preserve"> ‘</w:t>
          </w:r>
          <w:proofErr w:type="spellStart"/>
          <w:r w:rsidRPr="00287F16">
            <w:rPr>
              <w:highlight w:val="yellow"/>
            </w:rPr>
            <w:t>collusion</w:t>
          </w:r>
          <w:proofErr w:type="spellEnd"/>
          <w:r w:rsidRPr="00287F16">
            <w:rPr>
              <w:highlight w:val="yellow"/>
            </w:rPr>
            <w:t xml:space="preserve">’ </w:t>
          </w:r>
          <w:proofErr w:type="spellStart"/>
          <w:r w:rsidRPr="00287F16">
            <w:rPr>
              <w:highlight w:val="yellow"/>
            </w:rPr>
            <w:t>both</w:t>
          </w:r>
          <w:proofErr w:type="spellEnd"/>
          <w:r w:rsidRPr="00287F16">
            <w:rPr>
              <w:highlight w:val="yellow"/>
            </w:rPr>
            <w:t xml:space="preserve"> in the </w:t>
          </w:r>
          <w:proofErr w:type="spellStart"/>
          <w:r w:rsidRPr="00287F16">
            <w:rPr>
              <w:highlight w:val="yellow"/>
            </w:rPr>
            <w:t>narrow</w:t>
          </w:r>
          <w:proofErr w:type="spellEnd"/>
          <w:r w:rsidRPr="00287F16">
            <w:rPr>
              <w:highlight w:val="yellow"/>
            </w:rPr>
            <w:t xml:space="preserve"> and in the </w:t>
          </w:r>
          <w:proofErr w:type="spellStart"/>
          <w:r w:rsidRPr="00287F16">
            <w:rPr>
              <w:highlight w:val="yellow"/>
            </w:rPr>
            <w:t>broad</w:t>
          </w:r>
          <w:proofErr w:type="spellEnd"/>
          <w:r w:rsidRPr="00287F16">
            <w:rPr>
              <w:highlight w:val="yellow"/>
            </w:rPr>
            <w:t xml:space="preserve"> </w:t>
          </w:r>
          <w:proofErr w:type="spellStart"/>
          <w:r w:rsidRPr="00287F16">
            <w:rPr>
              <w:highlight w:val="yellow"/>
            </w:rPr>
            <w:t>sense</w:t>
          </w:r>
          <w:proofErr w:type="spellEnd"/>
          <w:r>
            <w:t>. Lisaks ei ole artikli 5 lõikes 4 otseselt ega kaudselt mainitud teadlikkuse või kavatsuse nõuet.</w:t>
          </w:r>
        </w:p>
      </w:sdtContent>
    </w:sdt>
    <w:sdt>
      <w:sdtPr>
        <w:alias w:val=""/>
        <w:tag w:val="ccTag97"/>
        <w:id w:val="97"/>
      </w:sdtPr>
      <w:sdtEndPr/>
      <w:sdtContent>
        <w:p w14:paraId="7F7F0D39" w14:textId="77777777" w:rsidR="00F74744" w:rsidRPr="00846D93" w:rsidRDefault="0019073C" w:rsidP="00F74744">
          <w:pPr>
            <w:pStyle w:val="01PointAltN"/>
          </w:pPr>
          <w:r>
            <w:t xml:space="preserve">Kolmandaks on liikmesriikidel õigus volitada oma väärtpaberijärelevalvet ülevõtmispakkumises pakutavat hinda kohandama piiratud üldisematel põhjustel: ehkki liikmesriigi väärtpaberijärelevalve peab </w:t>
          </w:r>
          <w:commentRangeStart w:id="9"/>
          <w:r>
            <w:t>pakkumishinna</w:t>
          </w:r>
          <w:commentRangeEnd w:id="9"/>
          <w:r>
            <w:rPr>
              <w:rStyle w:val="CommentReference"/>
            </w:rPr>
            <w:commentReference w:id="9"/>
          </w:r>
          <w:r>
            <w:t xml:space="preserve"> kohandamise üle otsustades toimima talle direktiivi 2004/25 artikliga 4 antud pädevuse piires, nähtub kohtupraktikast, et direktiiv ei ole kohaldatav olukordades, mis jäävad direktiivi kohaldamisalast välja.</w:t>
          </w:r>
          <w:r w:rsidR="00F74744" w:rsidRPr="00846D93">
            <w:rPr>
              <w:rStyle w:val="FootnoteReference"/>
              <w:lang w:val="en-GB"/>
            </w:rPr>
            <w:footnoteReference w:id="23"/>
          </w:r>
          <w:r>
            <w:t xml:space="preserve"> </w:t>
          </w:r>
          <w:r w:rsidRPr="00287F16">
            <w:rPr>
              <w:highlight w:val="yellow"/>
            </w:rPr>
            <w:t xml:space="preserve">In </w:t>
          </w:r>
          <w:proofErr w:type="spellStart"/>
          <w:r w:rsidRPr="00287F16">
            <w:rPr>
              <w:highlight w:val="yellow"/>
            </w:rPr>
            <w:t>other</w:t>
          </w:r>
          <w:proofErr w:type="spellEnd"/>
          <w:r w:rsidRPr="00287F16">
            <w:rPr>
              <w:highlight w:val="yellow"/>
            </w:rPr>
            <w:t xml:space="preserve"> </w:t>
          </w:r>
          <w:proofErr w:type="spellStart"/>
          <w:r w:rsidRPr="00287F16">
            <w:rPr>
              <w:highlight w:val="yellow"/>
            </w:rPr>
            <w:t>words</w:t>
          </w:r>
          <w:proofErr w:type="spellEnd"/>
          <w:r w:rsidRPr="00287F16">
            <w:rPr>
              <w:highlight w:val="yellow"/>
            </w:rPr>
            <w:t xml:space="preserve">, the </w:t>
          </w:r>
          <w:proofErr w:type="spellStart"/>
          <w:r w:rsidRPr="00287F16">
            <w:rPr>
              <w:highlight w:val="yellow"/>
            </w:rPr>
            <w:t>directive</w:t>
          </w:r>
          <w:proofErr w:type="spellEnd"/>
          <w:r w:rsidRPr="00287F16">
            <w:rPr>
              <w:highlight w:val="yellow"/>
            </w:rPr>
            <w:t xml:space="preserve"> </w:t>
          </w:r>
          <w:proofErr w:type="spellStart"/>
          <w:r w:rsidRPr="00287F16">
            <w:rPr>
              <w:highlight w:val="yellow"/>
            </w:rPr>
            <w:t>applies</w:t>
          </w:r>
          <w:proofErr w:type="spellEnd"/>
          <w:r w:rsidRPr="00287F16">
            <w:rPr>
              <w:highlight w:val="yellow"/>
            </w:rPr>
            <w:t xml:space="preserve">, </w:t>
          </w:r>
          <w:proofErr w:type="spellStart"/>
          <w:r w:rsidRPr="00287F16">
            <w:rPr>
              <w:i/>
              <w:highlight w:val="yellow"/>
            </w:rPr>
            <w:t>ratione</w:t>
          </w:r>
          <w:proofErr w:type="spellEnd"/>
          <w:r w:rsidRPr="00287F16">
            <w:rPr>
              <w:i/>
              <w:highlight w:val="yellow"/>
            </w:rPr>
            <w:t xml:space="preserve"> </w:t>
          </w:r>
          <w:proofErr w:type="spellStart"/>
          <w:r w:rsidRPr="00287F16">
            <w:rPr>
              <w:i/>
              <w:highlight w:val="yellow"/>
            </w:rPr>
            <w:t>materiae</w:t>
          </w:r>
          <w:proofErr w:type="spellEnd"/>
          <w:r w:rsidRPr="00287F16">
            <w:rPr>
              <w:highlight w:val="yellow"/>
            </w:rPr>
            <w:t>,</w:t>
          </w:r>
          <w:r w:rsidRPr="00287F16">
            <w:rPr>
              <w:i/>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takeover</w:t>
          </w:r>
          <w:proofErr w:type="spellEnd"/>
          <w:r w:rsidRPr="00287F16">
            <w:rPr>
              <w:highlight w:val="yellow"/>
            </w:rPr>
            <w:t xml:space="preserve"> </w:t>
          </w:r>
          <w:proofErr w:type="spellStart"/>
          <w:r w:rsidRPr="00287F16">
            <w:rPr>
              <w:highlight w:val="yellow"/>
            </w:rPr>
            <w:t>bids</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is</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say</w:t>
          </w:r>
          <w:proofErr w:type="spellEnd"/>
          <w:r w:rsidRPr="00287F16">
            <w:rPr>
              <w:highlight w:val="yellow"/>
            </w:rPr>
            <w:t xml:space="preserve"> the </w:t>
          </w:r>
          <w:proofErr w:type="spellStart"/>
          <w:r w:rsidRPr="00287F16">
            <w:rPr>
              <w:highlight w:val="yellow"/>
            </w:rPr>
            <w:t>relationship</w:t>
          </w:r>
          <w:proofErr w:type="spellEnd"/>
          <w:r w:rsidRPr="00287F16">
            <w:rPr>
              <w:highlight w:val="yellow"/>
            </w:rPr>
            <w:t xml:space="preserve"> </w:t>
          </w:r>
          <w:proofErr w:type="spellStart"/>
          <w:r w:rsidRPr="00287F16">
            <w:rPr>
              <w:highlight w:val="yellow"/>
            </w:rPr>
            <w:t>between</w:t>
          </w:r>
          <w:proofErr w:type="spellEnd"/>
          <w:r w:rsidRPr="00287F16">
            <w:rPr>
              <w:highlight w:val="yellow"/>
            </w:rPr>
            <w:t xml:space="preserve"> the </w:t>
          </w:r>
          <w:proofErr w:type="spellStart"/>
          <w:r w:rsidRPr="00287F16">
            <w:rPr>
              <w:highlight w:val="yellow"/>
            </w:rPr>
            <w:t>offeror</w:t>
          </w:r>
          <w:proofErr w:type="spellEnd"/>
          <w:r w:rsidRPr="00287F16">
            <w:rPr>
              <w:highlight w:val="yellow"/>
            </w:rPr>
            <w:t xml:space="preserve"> and the </w:t>
          </w:r>
          <w:proofErr w:type="spellStart"/>
          <w:r w:rsidRPr="00287F16">
            <w:rPr>
              <w:highlight w:val="yellow"/>
            </w:rPr>
            <w:t>holders</w:t>
          </w:r>
          <w:proofErr w:type="spellEnd"/>
          <w:r w:rsidRPr="00287F16">
            <w:rPr>
              <w:highlight w:val="yellow"/>
            </w:rPr>
            <w:t xml:space="preserve"> of </w:t>
          </w:r>
          <w:proofErr w:type="spellStart"/>
          <w:r w:rsidRPr="00287F16">
            <w:rPr>
              <w:highlight w:val="yellow"/>
            </w:rPr>
            <w:t>securities</w:t>
          </w:r>
          <w:proofErr w:type="spellEnd"/>
          <w:r w:rsidRPr="00287F16">
            <w:rPr>
              <w:highlight w:val="yellow"/>
            </w:rPr>
            <w:t xml:space="preserve"> in the </w:t>
          </w:r>
          <w:proofErr w:type="spellStart"/>
          <w:r w:rsidRPr="00287F16">
            <w:rPr>
              <w:highlight w:val="yellow"/>
            </w:rPr>
            <w:t>target</w:t>
          </w:r>
          <w:proofErr w:type="spellEnd"/>
          <w:r w:rsidRPr="00287F16">
            <w:rPr>
              <w:highlight w:val="yellow"/>
            </w:rPr>
            <w:t xml:space="preserve"> </w:t>
          </w:r>
          <w:proofErr w:type="spellStart"/>
          <w:r w:rsidRPr="00287F16">
            <w:rPr>
              <w:highlight w:val="yellow"/>
            </w:rPr>
            <w:t>company</w:t>
          </w:r>
          <w:proofErr w:type="spellEnd"/>
          <w:r>
            <w:t xml:space="preserve">. Seepärast ei saa eeldada, et direktiiv on kohaldatav tehingute suhtes, millel ei ole kohustusliku ülevõtmispakkumise tegemisega mingit pistmist – vastupidine järeldus oleks sama mõttekas kui </w:t>
          </w:r>
          <w:commentRangeStart w:id="10"/>
          <w:commentRangeStart w:id="11"/>
          <w:commentRangeStart w:id="12"/>
          <w:r>
            <w:t>riigijuust</w:t>
          </w:r>
          <w:commentRangeEnd w:id="10"/>
          <w:r>
            <w:rPr>
              <w:rStyle w:val="CommentReference"/>
            </w:rPr>
            <w:commentReference w:id="10"/>
          </w:r>
          <w:commentRangeEnd w:id="11"/>
          <w:r>
            <w:rPr>
              <w:rStyle w:val="CommentReference"/>
            </w:rPr>
            <w:commentReference w:id="11"/>
          </w:r>
          <w:commentRangeEnd w:id="12"/>
          <w:r>
            <w:rPr>
              <w:rStyle w:val="CommentReference"/>
            </w:rPr>
            <w:commentReference w:id="12"/>
          </w:r>
          <w:r>
            <w:t>.</w:t>
          </w:r>
        </w:p>
      </w:sdtContent>
    </w:sdt>
    <w:sdt>
      <w:sdtPr>
        <w:alias w:val=""/>
        <w:tag w:val="ccTag98"/>
        <w:id w:val="98"/>
      </w:sdtPr>
      <w:sdtEndPr/>
      <w:sdtContent>
        <w:p w14:paraId="482B5285" w14:textId="77777777" w:rsidR="006E2607" w:rsidRPr="00846D93" w:rsidRDefault="006E2607" w:rsidP="009152D7">
          <w:pPr>
            <w:pStyle w:val="01PointAltN"/>
          </w:pPr>
          <w:r>
            <w:t xml:space="preserve">Seega kuuluvad direktiivi 2004/25 artikli 5 lõike 4 teises lõigus viidatud „asjaolude“ hulka ainult sellised õiguslikud ja faktilised asjaolud, </w:t>
          </w:r>
          <w:r>
            <w:rPr>
              <w:i/>
            </w:rPr>
            <w:t>millel on kohustusliku ülevõtmispakkumise tinginud tehinguga selge ja otsene seos</w:t>
          </w:r>
          <w:r>
            <w:t>. Nagu Itaalia valitsus kohtuistungil samuti arvas, peab tehing, mis pealtnäha erineb kohustusliku ülevõtmispakkumise tinginud tehingust, tegelikkuses olema ülevõtmistehingu jaoks möödapääsmatu (</w:t>
          </w:r>
          <w:r>
            <w:rPr>
              <w:i/>
            </w:rPr>
            <w:t xml:space="preserve">sine </w:t>
          </w:r>
          <w:proofErr w:type="spellStart"/>
          <w:r>
            <w:rPr>
              <w:i/>
            </w:rPr>
            <w:t>qua</w:t>
          </w:r>
          <w:proofErr w:type="spellEnd"/>
          <w:r>
            <w:rPr>
              <w:i/>
            </w:rPr>
            <w:t xml:space="preserve"> non</w:t>
          </w:r>
          <w:r>
            <w:t>), kui seda tuleb hinna kohandamisel arvesse võtta.</w:t>
          </w:r>
        </w:p>
      </w:sdtContent>
    </w:sdt>
    <w:bookmarkStart w:id="13" w:name="_Ref472519951" w:displacedByCustomXml="prev"/>
    <w:sdt>
      <w:sdtPr>
        <w:alias w:val=""/>
        <w:tag w:val="ccTag99"/>
        <w:id w:val="99"/>
      </w:sdtPr>
      <w:sdtEndPr/>
      <w:sdtContent>
        <w:p w14:paraId="41099A3F" w14:textId="77777777" w:rsidR="0019073C" w:rsidRPr="00846D93" w:rsidRDefault="006E2607" w:rsidP="0019073C">
          <w:pPr>
            <w:pStyle w:val="01PointAltN"/>
          </w:pPr>
          <w:r>
            <w:t xml:space="preserve">Seda ei muuda ka tõsiasi, et direktiiv 2004/25 ühtlustab artikli 3 lõike 2 kohaselt ülevõtmispakkumisi käsitlevaid liikmesriikide õigusnorme ainult osaliselt. Liikmesriik ei saa oma väärtpaberijärelevalvet volitada direktiivi 2004/25 artikli 5 lõikest 4 kõrvale kalduma kohustuslikus ülevõtmispakkumises nimetatud hinna </w:t>
          </w:r>
          <w:r>
            <w:lastRenderedPageBreak/>
            <w:t>kohandamisega viisil, mis küll tõhustab vähemusaktsionäride kaitset, kuid mille tagajärjel kaotab kõrgeima hinna reegel oma tõhususe, kuna väärtpaberijärelevalvel on õigus võtta arvesse tehinguid, mis jäävad väärtpaberijärelevalve pädevusest ja/või direktiivi kohaldamisalast välja.</w:t>
          </w:r>
          <w:r w:rsidR="004D70DE" w:rsidRPr="00846D93">
            <w:rPr>
              <w:rStyle w:val="FootnoteReference"/>
              <w:lang w:val="en-GB"/>
            </w:rPr>
            <w:footnoteReference w:id="24"/>
          </w:r>
        </w:p>
        <w:bookmarkEnd w:id="13" w:displacedByCustomXml="next"/>
      </w:sdtContent>
    </w:sdt>
    <w:sdt>
      <w:sdtPr>
        <w:alias w:val=""/>
        <w:tag w:val="ccTag100"/>
        <w:id w:val="100"/>
      </w:sdtPr>
      <w:sdtEndPr/>
      <w:sdtContent>
        <w:p w14:paraId="286F4C3D" w14:textId="77777777" w:rsidR="006E7B7B" w:rsidRPr="00846D93" w:rsidRDefault="006E7B7B" w:rsidP="006E7B7B">
          <w:pPr>
            <w:pStyle w:val="24Titrenumerote4"/>
          </w:pPr>
          <w:r>
            <w:t>Väljendi „selgesti määratletud“ tähendus ja toime</w:t>
          </w:r>
        </w:p>
      </w:sdtContent>
    </w:sdt>
    <w:sdt>
      <w:sdtPr>
        <w:alias w:val=""/>
        <w:tag w:val="ccTag101"/>
        <w:id w:val="101"/>
      </w:sdtPr>
      <w:sdtEndPr/>
      <w:sdtContent>
        <w:p w14:paraId="50CC8279" w14:textId="77777777" w:rsidR="00422E57" w:rsidRPr="00846D93" w:rsidRDefault="00F655AE" w:rsidP="00422E57">
          <w:pPr>
            <w:pStyle w:val="01PointAltN"/>
          </w:pPr>
          <w:r>
            <w:t xml:space="preserve">Mis puudutab väljendi „selgesti määratletud“ tähendust, siis viitavad põhikohtuasja mõlemad pooled oma seisukohtade kinnitamiseks kohtuotsusele </w:t>
          </w:r>
          <w:proofErr w:type="spellStart"/>
          <w:r>
            <w:t>Periscopus</w:t>
          </w:r>
          <w:proofErr w:type="spellEnd"/>
          <w:r w:rsidR="006B71FB" w:rsidRPr="00846D93">
            <w:rPr>
              <w:rStyle w:val="FootnoteReference"/>
              <w:lang w:val="en-GB"/>
            </w:rPr>
            <w:footnoteReference w:id="25"/>
          </w:r>
          <w:r>
            <w:t>. Seal sedastas EFTA Kohus, et direktiivi 2004/25 artikli 5 lõike 4 teise lõiguga on vastuolus anda siseriiklikule väärtpaberijärelevalvele volitus kalduda kõrgeima hinna reeglist kõrvale olukorras, kus on selge, et kõrgeim hind ei vasta turuhinnale, selgitamata lähemalt, mida mõiste „turuhind“ täpselt tähendab. Sellest kohtuotsusest ei ole aga käesoleva asja lahendamisel abi. Esiteks ei seisne vaidlus põhikohtuasjas selles, et pakkumises pakuti turuhinnast selgelt madalamat hinda, vaid hoopis selles, et see hind oli sündinud sobingu tulemusel, mis väidetavalt on hoopis teine asjaolu. Teiseks ei ole käesolevas asjas vaidluse all olevad Itaalia õigusnormid nii lakoonilised kui tolles kohtuasjas vaidlus all olnud Norra õigusnormid. Viimaseks ei ole EFTA Kohtu otsus Euroopa Kohtule siduv.</w:t>
          </w:r>
        </w:p>
      </w:sdtContent>
    </w:sdt>
    <w:sdt>
      <w:sdtPr>
        <w:alias w:val=""/>
        <w:tag w:val="ccTag102"/>
        <w:id w:val="102"/>
      </w:sdtPr>
      <w:sdtEndPr/>
      <w:sdtContent>
        <w:p w14:paraId="50B62C48" w14:textId="77777777" w:rsidR="00F655AE" w:rsidRPr="00846D93" w:rsidRDefault="00F655AE" w:rsidP="00F655AE">
          <w:pPr>
            <w:pStyle w:val="01PointAltN"/>
          </w:pPr>
          <w:r>
            <w:t xml:space="preserve">Minu arvates tähendab väljend „selgesti määratletud“ seda, et liikmesriikide väärtpaberijärelevalvele antud hinna kohandamise volitus peab olema kirjalike eeskirjade vormis, mis on varem avaldatud ja laiemale üldsusele hõlpsasti kättesaadavad (edaspidi „siseriiklikud kohandamiseeskirjad“). Kas need eeskirjad võtab vastu mõni ministeerium või väärtpaberijärelevalve ise, ei ole oluline, nagu ei ole oluline ka see, kas need võetakse vastu esmaste või teiseste õigusaktide kujul, peaasi, et need on siduvad. </w:t>
          </w:r>
        </w:p>
      </w:sdtContent>
    </w:sdt>
    <w:sdt>
      <w:sdtPr>
        <w:alias w:val=""/>
        <w:tag w:val="ccTag103"/>
        <w:id w:val="103"/>
      </w:sdtPr>
      <w:sdtEndPr/>
      <w:sdtContent>
        <w:p w14:paraId="77CD9534" w14:textId="77777777" w:rsidR="004F438C" w:rsidRPr="00846D93" w:rsidRDefault="006E2607" w:rsidP="004F438C">
          <w:pPr>
            <w:pStyle w:val="01PointAltN"/>
          </w:pPr>
          <w:r>
            <w:t>Samas ei saa aga minu arvates väljendist „selgesti määratletud“ välja lugeda nõuet, et kõnealustes siseriiklikes kohandamiseeskirjades peab iga üksik olukord olema ammendavalt ja üksikasjalikult eelnevalt ära kirjeldatud.</w:t>
          </w:r>
          <w:r w:rsidR="00F6341B" w:rsidRPr="00846D93">
            <w:rPr>
              <w:rStyle w:val="FootnoteReference"/>
              <w:lang w:val="en-GB"/>
            </w:rPr>
            <w:footnoteReference w:id="26"/>
          </w:r>
          <w:r>
            <w:t xml:space="preserve"> </w:t>
          </w:r>
          <w:r w:rsidRPr="00287F16">
            <w:rPr>
              <w:highlight w:val="yellow"/>
            </w:rPr>
            <w:t xml:space="preserve">On </w:t>
          </w:r>
          <w:proofErr w:type="spellStart"/>
          <w:r w:rsidRPr="00287F16">
            <w:rPr>
              <w:highlight w:val="yellow"/>
            </w:rPr>
            <w:t>that</w:t>
          </w:r>
          <w:proofErr w:type="spellEnd"/>
          <w:r w:rsidRPr="00287F16">
            <w:rPr>
              <w:highlight w:val="yellow"/>
            </w:rPr>
            <w:t xml:space="preserve"> </w:t>
          </w:r>
          <w:proofErr w:type="spellStart"/>
          <w:r w:rsidRPr="00287F16">
            <w:rPr>
              <w:highlight w:val="yellow"/>
            </w:rPr>
            <w:t>point</w:t>
          </w:r>
          <w:proofErr w:type="spellEnd"/>
          <w:r w:rsidRPr="00287F16">
            <w:rPr>
              <w:highlight w:val="yellow"/>
            </w:rPr>
            <w:t xml:space="preserve">, I </w:t>
          </w:r>
          <w:proofErr w:type="spellStart"/>
          <w:r w:rsidRPr="00287F16">
            <w:rPr>
              <w:highlight w:val="yellow"/>
            </w:rPr>
            <w:t>agree</w:t>
          </w:r>
          <w:proofErr w:type="spellEnd"/>
          <w:r w:rsidRPr="00287F16">
            <w:rPr>
              <w:highlight w:val="yellow"/>
            </w:rPr>
            <w:t xml:space="preserve"> </w:t>
          </w:r>
          <w:proofErr w:type="spellStart"/>
          <w:r w:rsidRPr="00287F16">
            <w:rPr>
              <w:highlight w:val="yellow"/>
            </w:rPr>
            <w:t>with</w:t>
          </w:r>
          <w:proofErr w:type="spellEnd"/>
          <w:r w:rsidRPr="00287F16">
            <w:rPr>
              <w:highlight w:val="yellow"/>
            </w:rPr>
            <w:t xml:space="preserve"> the </w:t>
          </w:r>
          <w:proofErr w:type="spellStart"/>
          <w:r w:rsidRPr="00287F16">
            <w:rPr>
              <w:highlight w:val="yellow"/>
            </w:rPr>
            <w:t>Italian</w:t>
          </w:r>
          <w:proofErr w:type="spellEnd"/>
          <w:r w:rsidRPr="00287F16">
            <w:rPr>
              <w:highlight w:val="yellow"/>
            </w:rPr>
            <w:t xml:space="preserve"> </w:t>
          </w:r>
          <w:proofErr w:type="spellStart"/>
          <w:r w:rsidRPr="00287F16">
            <w:rPr>
              <w:highlight w:val="yellow"/>
            </w:rPr>
            <w:t>Government</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rather</w:t>
          </w:r>
          <w:proofErr w:type="spellEnd"/>
          <w:r w:rsidRPr="00287F16">
            <w:rPr>
              <w:highlight w:val="yellow"/>
            </w:rPr>
            <w:t xml:space="preserve"> </w:t>
          </w:r>
          <w:proofErr w:type="spellStart"/>
          <w:r w:rsidRPr="00287F16">
            <w:rPr>
              <w:highlight w:val="yellow"/>
            </w:rPr>
            <w:t>than</w:t>
          </w:r>
          <w:proofErr w:type="spellEnd"/>
          <w:r w:rsidRPr="00287F16">
            <w:rPr>
              <w:highlight w:val="yellow"/>
            </w:rPr>
            <w:t xml:space="preserve"> </w:t>
          </w:r>
          <w:proofErr w:type="spellStart"/>
          <w:r w:rsidRPr="00287F16">
            <w:rPr>
              <w:highlight w:val="yellow"/>
            </w:rPr>
            <w:t>listing</w:t>
          </w:r>
          <w:proofErr w:type="spellEnd"/>
          <w:r w:rsidRPr="00287F16">
            <w:rPr>
              <w:highlight w:val="yellow"/>
            </w:rPr>
            <w:t xml:space="preserve"> </w:t>
          </w:r>
          <w:proofErr w:type="spellStart"/>
          <w:r w:rsidRPr="00287F16">
            <w:rPr>
              <w:highlight w:val="yellow"/>
            </w:rPr>
            <w:t>individually</w:t>
          </w:r>
          <w:proofErr w:type="spellEnd"/>
          <w:r w:rsidRPr="00287F16">
            <w:rPr>
              <w:highlight w:val="yellow"/>
            </w:rPr>
            <w:t xml:space="preserve"> and </w:t>
          </w:r>
          <w:proofErr w:type="spellStart"/>
          <w:r w:rsidRPr="00287F16">
            <w:rPr>
              <w:highlight w:val="yellow"/>
            </w:rPr>
            <w:t>exhaustively</w:t>
          </w:r>
          <w:proofErr w:type="spellEnd"/>
          <w:r w:rsidRPr="00287F16">
            <w:rPr>
              <w:highlight w:val="yellow"/>
            </w:rPr>
            <w:t xml:space="preserve"> the </w:t>
          </w:r>
          <w:proofErr w:type="spellStart"/>
          <w:r w:rsidRPr="00287F16">
            <w:rPr>
              <w:highlight w:val="yellow"/>
            </w:rPr>
            <w:t>specific</w:t>
          </w:r>
          <w:proofErr w:type="spellEnd"/>
          <w:r w:rsidRPr="00287F16">
            <w:rPr>
              <w:highlight w:val="yellow"/>
            </w:rPr>
            <w:t xml:space="preserve"> </w:t>
          </w:r>
          <w:proofErr w:type="spellStart"/>
          <w:r w:rsidRPr="00287F16">
            <w:rPr>
              <w:highlight w:val="yellow"/>
            </w:rPr>
            <w:t>situations</w:t>
          </w:r>
          <w:proofErr w:type="spellEnd"/>
          <w:r w:rsidRPr="00287F16">
            <w:rPr>
              <w:highlight w:val="yellow"/>
            </w:rPr>
            <w:t xml:space="preserve"> in </w:t>
          </w:r>
          <w:proofErr w:type="spellStart"/>
          <w:r w:rsidRPr="00287F16">
            <w:rPr>
              <w:highlight w:val="yellow"/>
            </w:rPr>
            <w:t>which</w:t>
          </w:r>
          <w:proofErr w:type="spellEnd"/>
          <w:r w:rsidRPr="00287F16">
            <w:rPr>
              <w:highlight w:val="yellow"/>
            </w:rPr>
            <w:t xml:space="preserve"> a NSA </w:t>
          </w:r>
          <w:proofErr w:type="spellStart"/>
          <w:r w:rsidRPr="00287F16">
            <w:rPr>
              <w:highlight w:val="yellow"/>
            </w:rPr>
            <w:t>is</w:t>
          </w:r>
          <w:proofErr w:type="spellEnd"/>
          <w:r w:rsidRPr="00287F16">
            <w:rPr>
              <w:highlight w:val="yellow"/>
            </w:rPr>
            <w:t xml:space="preserve"> </w:t>
          </w:r>
          <w:proofErr w:type="spellStart"/>
          <w:r w:rsidRPr="00287F16">
            <w:rPr>
              <w:highlight w:val="yellow"/>
            </w:rPr>
            <w:t>entitled</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proceed</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w:t>
          </w:r>
          <w:proofErr w:type="spellStart"/>
          <w:r w:rsidRPr="00287F16">
            <w:rPr>
              <w:highlight w:val="yellow"/>
            </w:rPr>
            <w:t>adjust</w:t>
          </w:r>
          <w:proofErr w:type="spellEnd"/>
          <w:r w:rsidRPr="00287F16">
            <w:rPr>
              <w:highlight w:val="yellow"/>
            </w:rPr>
            <w:t xml:space="preserve"> the </w:t>
          </w:r>
          <w:proofErr w:type="spellStart"/>
          <w:r w:rsidRPr="00287F16">
            <w:rPr>
              <w:highlight w:val="yellow"/>
            </w:rPr>
            <w:t>price</w:t>
          </w:r>
          <w:proofErr w:type="spellEnd"/>
          <w:r w:rsidRPr="00287F16">
            <w:rPr>
              <w:highlight w:val="yellow"/>
            </w:rPr>
            <w:t xml:space="preserve"> of a </w:t>
          </w:r>
          <w:proofErr w:type="spellStart"/>
          <w:r w:rsidRPr="00287F16">
            <w:rPr>
              <w:highlight w:val="yellow"/>
            </w:rPr>
            <w:t>mandatory</w:t>
          </w:r>
          <w:proofErr w:type="spellEnd"/>
          <w:r w:rsidRPr="00287F16">
            <w:rPr>
              <w:highlight w:val="yellow"/>
            </w:rPr>
            <w:t xml:space="preserve"> </w:t>
          </w:r>
          <w:proofErr w:type="spellStart"/>
          <w:r w:rsidRPr="00287F16">
            <w:rPr>
              <w:highlight w:val="yellow"/>
            </w:rPr>
            <w:t>takeover</w:t>
          </w:r>
          <w:proofErr w:type="spellEnd"/>
          <w:r w:rsidRPr="00287F16">
            <w:rPr>
              <w:highlight w:val="yellow"/>
            </w:rPr>
            <w:t xml:space="preserve"> </w:t>
          </w:r>
          <w:proofErr w:type="spellStart"/>
          <w:r w:rsidRPr="00287F16">
            <w:rPr>
              <w:highlight w:val="yellow"/>
            </w:rPr>
            <w:t>bid</w:t>
          </w:r>
          <w:proofErr w:type="spellEnd"/>
          <w:r w:rsidRPr="00287F16">
            <w:rPr>
              <w:highlight w:val="yellow"/>
            </w:rPr>
            <w:t xml:space="preserve">, the EU </w:t>
          </w:r>
          <w:proofErr w:type="spellStart"/>
          <w:r w:rsidRPr="00287F16">
            <w:rPr>
              <w:highlight w:val="yellow"/>
            </w:rPr>
            <w:t>legislature</w:t>
          </w:r>
          <w:proofErr w:type="spellEnd"/>
          <w:r w:rsidRPr="00287F16">
            <w:rPr>
              <w:highlight w:val="yellow"/>
            </w:rPr>
            <w:t xml:space="preserve"> </w:t>
          </w:r>
          <w:proofErr w:type="spellStart"/>
          <w:r w:rsidRPr="00287F16">
            <w:rPr>
              <w:highlight w:val="yellow"/>
            </w:rPr>
            <w:t>chose</w:t>
          </w:r>
          <w:proofErr w:type="spellEnd"/>
          <w:r w:rsidRPr="00287F16">
            <w:rPr>
              <w:highlight w:val="yellow"/>
            </w:rPr>
            <w:t xml:space="preserve"> instead </w:t>
          </w:r>
          <w:proofErr w:type="spellStart"/>
          <w:r w:rsidRPr="00287F16">
            <w:rPr>
              <w:highlight w:val="yellow"/>
            </w:rPr>
            <w:t>to</w:t>
          </w:r>
          <w:proofErr w:type="spellEnd"/>
          <w:r w:rsidRPr="00287F16">
            <w:rPr>
              <w:highlight w:val="yellow"/>
            </w:rPr>
            <w:t xml:space="preserve"> </w:t>
          </w:r>
          <w:proofErr w:type="spellStart"/>
          <w:r w:rsidRPr="00287F16">
            <w:rPr>
              <w:highlight w:val="yellow"/>
            </w:rPr>
            <w:t>use</w:t>
          </w:r>
          <w:proofErr w:type="spellEnd"/>
          <w:r w:rsidRPr="00287F16">
            <w:rPr>
              <w:highlight w:val="yellow"/>
            </w:rPr>
            <w:t xml:space="preserve"> the </w:t>
          </w:r>
          <w:proofErr w:type="spellStart"/>
          <w:r w:rsidRPr="00287F16">
            <w:rPr>
              <w:highlight w:val="yellow"/>
            </w:rPr>
            <w:t>more</w:t>
          </w:r>
          <w:proofErr w:type="spellEnd"/>
          <w:r w:rsidRPr="00287F16">
            <w:rPr>
              <w:highlight w:val="yellow"/>
            </w:rPr>
            <w:t xml:space="preserve"> </w:t>
          </w:r>
          <w:proofErr w:type="spellStart"/>
          <w:r w:rsidRPr="00287F16">
            <w:rPr>
              <w:highlight w:val="yellow"/>
            </w:rPr>
            <w:t>generic</w:t>
          </w:r>
          <w:proofErr w:type="spellEnd"/>
          <w:r w:rsidRPr="00287F16">
            <w:rPr>
              <w:highlight w:val="yellow"/>
            </w:rPr>
            <w:t xml:space="preserve"> term ‘</w:t>
          </w:r>
          <w:proofErr w:type="spellStart"/>
          <w:r w:rsidRPr="00287F16">
            <w:rPr>
              <w:highlight w:val="yellow"/>
            </w:rPr>
            <w:t>circumstances</w:t>
          </w:r>
          <w:proofErr w:type="spellEnd"/>
          <w:r w:rsidRPr="00287F16">
            <w:rPr>
              <w:highlight w:val="yellow"/>
            </w:rPr>
            <w:t>’</w:t>
          </w:r>
          <w:r>
            <w:t>. Samamoodi kaldun nõustuma komisjoniga seisukohas, et artikli 5 lõige 4 ei keela liikmesriikidel tugineda abstraktsetel õigusmõistetele.</w:t>
          </w:r>
        </w:p>
      </w:sdtContent>
    </w:sdt>
    <w:sdt>
      <w:sdtPr>
        <w:alias w:val=""/>
        <w:tag w:val="ccTag104"/>
        <w:id w:val="104"/>
      </w:sdtPr>
      <w:sdtEndPr/>
      <w:sdtContent>
        <w:p w14:paraId="24E1DDEF" w14:textId="77777777" w:rsidR="00D40073" w:rsidRPr="00846D93" w:rsidRDefault="00245C66" w:rsidP="00D40073">
          <w:pPr>
            <w:pStyle w:val="01PointAltN"/>
          </w:pPr>
          <w:r>
            <w:t xml:space="preserve">Neil kaalutlustel ei ole mul raske nõustuda seisukohaga, et väljend „selgesti määratletud“ lubab liikmesriikidel vastu võtta kohandamiseeskirju, mis annavad nende väärtpaberijärelevalvele volituse kohandada kohustuslikus ülevõtmispakkumises nimetatud hinda sobingu korral </w:t>
          </w:r>
          <w:r>
            <w:rPr>
              <w:i/>
            </w:rPr>
            <w:t>nii kitsas kui ka laias mõttes</w:t>
          </w:r>
          <w:r>
            <w:t xml:space="preserve">. </w:t>
          </w:r>
        </w:p>
      </w:sdtContent>
    </w:sdt>
    <w:sdt>
      <w:sdtPr>
        <w:alias w:val=""/>
        <w:tag w:val="ccTag105"/>
        <w:id w:val="105"/>
      </w:sdtPr>
      <w:sdtEndPr/>
      <w:sdtContent>
        <w:p w14:paraId="080BDEFD" w14:textId="77777777" w:rsidR="00DC115B" w:rsidRPr="00846D93" w:rsidRDefault="006C1D6A" w:rsidP="00DC115B">
          <w:pPr>
            <w:pStyle w:val="01PointAltN"/>
          </w:pPr>
          <w:r>
            <w:t xml:space="preserve">Sellegipoolest leiab eelotsusetaotluse esitanud kohus – s.o liikmesriigi kõrgeim halduskohus –, et Itaalia õiguses on üldiselt kohaldatav mõiste „sobing“ kitsas tõlgendus. Nagu mainitud, ei saa Euroopa Kohus võtta seisukohta küsimuses, kumb neist kahest Itaalia õigusnormide tõlgendusest on õige. Euroopa Kohus saab vastata ainult küsimusele, kas direktiivi 2004/25 artikli 5 lõikes 4 kasutatav väljend „selgesti määratletud“ muudab või – selleks, et kajastada tõepärasemalt reaalsest olukorda, mille kohta Euroopa Kohtu abi tegelikult palutakse – </w:t>
          </w:r>
          <w:r>
            <w:rPr>
              <w:i/>
            </w:rPr>
            <w:t>nõuab</w:t>
          </w:r>
          <w:r>
            <w:t xml:space="preserve"> sellist laia tõlgendust. </w:t>
          </w:r>
        </w:p>
      </w:sdtContent>
    </w:sdt>
    <w:sdt>
      <w:sdtPr>
        <w:alias w:val=""/>
        <w:tag w:val="ccTag106"/>
        <w:id w:val="106"/>
      </w:sdtPr>
      <w:sdtEndPr/>
      <w:sdtContent>
        <w:p w14:paraId="4A763620" w14:textId="77777777" w:rsidR="0045399C" w:rsidRPr="00846D93" w:rsidRDefault="0045399C" w:rsidP="00471BBB">
          <w:pPr>
            <w:pStyle w:val="01PointAltN"/>
          </w:pPr>
          <w:r>
            <w:t>Minu arvates mitte.</w:t>
          </w:r>
        </w:p>
      </w:sdtContent>
    </w:sdt>
    <w:sdt>
      <w:sdtPr>
        <w:alias w:val=""/>
        <w:tag w:val="ccTag107"/>
        <w:id w:val="107"/>
      </w:sdtPr>
      <w:sdtEndPr/>
      <w:sdtContent>
        <w:p w14:paraId="34073587" w14:textId="77777777" w:rsidR="005D0797" w:rsidRPr="00846D93" w:rsidRDefault="005D0797" w:rsidP="005D0797">
          <w:pPr>
            <w:pStyle w:val="01PointAltN"/>
          </w:pPr>
          <w:r>
            <w:t>Esiteks, kui seda teha, siis oleks see sama kui tõlgendada direktiivi 2004/25 artikli 5 lõike 4 teist lõiku laialt, mis on vastuolus selle sätte kui kõrgeima hinna reegli erandi olemusega.</w:t>
          </w:r>
        </w:p>
      </w:sdtContent>
    </w:sdt>
    <w:sdt>
      <w:sdtPr>
        <w:alias w:val=""/>
        <w:tag w:val="ccTag108"/>
        <w:id w:val="108"/>
      </w:sdtPr>
      <w:sdtEndPr/>
      <w:sdtContent>
        <w:p w14:paraId="139D55F6" w14:textId="77777777" w:rsidR="00A048F3" w:rsidRPr="00846D93" w:rsidRDefault="00A048F3" w:rsidP="00A048F3">
          <w:pPr>
            <w:pStyle w:val="01PointAltN"/>
          </w:pPr>
          <w:r>
            <w:t>Teiseks on liikmesriikidel vabadus otsustada, kas nad kasutavad neile direktiivi 2004/25 artikli 5 lõike 4 teise lõiguga antud kaalutlusõigust või mitte ja kui, siis määrata menetlusautonoomia põhimõttel kindlaks selle paranduseeskirjad. Põhikohtuasjas on vaidlusaluste Itaalia õigusnormide kehtestamisel otsustatud kasutada mõistet, mis minu arusaamist mööda ei ole Itaalia õiguses uus: „sobing“. Seda arvestades tundub, et mõiste „sobing“ lai tõlgendamine pelgalt põhjusel, et sellel on seos direktiiviga, mida ei ole ainult siseriikliku õigusega seotud küsimustes, on pisut õhust võetud. Võrdväärse kohtlemise põhimõte nõuab vaid seda, et ELi õigusel põhinevaid nõudeid tuleb kohelda samamoodi kui siseriiklikul õigusel põhinevaid, mitte soodsamalt.</w:t>
          </w:r>
        </w:p>
      </w:sdtContent>
    </w:sdt>
    <w:bookmarkStart w:id="14" w:name="_Ref473731591" w:displacedByCustomXml="next"/>
    <w:sdt>
      <w:sdtPr>
        <w:alias w:val=""/>
        <w:tag w:val="ccTag109"/>
        <w:id w:val="109"/>
      </w:sdtPr>
      <w:sdtEndPr/>
      <w:sdtContent>
        <w:p w14:paraId="15F770A6" w14:textId="77777777" w:rsidR="005D0797" w:rsidRPr="00846D93" w:rsidRDefault="00A048F3" w:rsidP="00041702">
          <w:pPr>
            <w:pStyle w:val="01PointAltN"/>
          </w:pPr>
          <w:r>
            <w:t>Kolmandaks, mis puudutab õiguskindluse üldpõhimõtet, mida eelotsusetaotluse esitanud kohus oma eelotsuse küsimuses nimetab, on direktiivi 2004/25 üks üldeesmärkidest luua kogu liidus selgus ja avatus seoses õiguslike küsimustega, mis kerkivad esile ülevõtmispakkumiste korral.</w:t>
          </w:r>
          <w:r w:rsidR="00041702" w:rsidRPr="00846D93">
            <w:rPr>
              <w:rStyle w:val="FootnoteReference"/>
              <w:lang w:val="en-GB"/>
            </w:rPr>
            <w:footnoteReference w:id="27"/>
          </w:r>
          <w:r>
            <w:t xml:space="preserve"> </w:t>
          </w:r>
          <w:proofErr w:type="spellStart"/>
          <w:r w:rsidRPr="00287F16">
            <w:rPr>
              <w:highlight w:val="yellow"/>
            </w:rPr>
            <w:t>Moreover</w:t>
          </w:r>
          <w:proofErr w:type="spellEnd"/>
          <w:r w:rsidRPr="00287F16">
            <w:rPr>
              <w:highlight w:val="yellow"/>
            </w:rPr>
            <w:t xml:space="preserve">, </w:t>
          </w:r>
          <w:proofErr w:type="spellStart"/>
          <w:r w:rsidRPr="00287F16">
            <w:rPr>
              <w:highlight w:val="yellow"/>
            </w:rPr>
            <w:t>both</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principle</w:t>
          </w:r>
          <w:proofErr w:type="spellEnd"/>
          <w:r w:rsidRPr="00287F16">
            <w:rPr>
              <w:highlight w:val="yellow"/>
            </w:rPr>
            <w:t xml:space="preserve"> and the need, </w:t>
          </w:r>
          <w:proofErr w:type="spellStart"/>
          <w:r w:rsidRPr="00287F16">
            <w:rPr>
              <w:highlight w:val="yellow"/>
            </w:rPr>
            <w:t>under</w:t>
          </w:r>
          <w:proofErr w:type="spellEnd"/>
          <w:r w:rsidRPr="00287F16">
            <w:rPr>
              <w:highlight w:val="yellow"/>
            </w:rPr>
            <w:t xml:space="preserve"> </w:t>
          </w:r>
          <w:proofErr w:type="spellStart"/>
          <w:r w:rsidRPr="00287F16">
            <w:rPr>
              <w:highlight w:val="yellow"/>
            </w:rPr>
            <w:t>Article</w:t>
          </w:r>
          <w:proofErr w:type="spellEnd"/>
          <w:r w:rsidRPr="00287F16">
            <w:rPr>
              <w:highlight w:val="yellow"/>
            </w:rPr>
            <w:t xml:space="preserve"> 288 TFEU, </w:t>
          </w:r>
          <w:proofErr w:type="spellStart"/>
          <w:r w:rsidRPr="00287F16">
            <w:rPr>
              <w:highlight w:val="yellow"/>
            </w:rPr>
            <w:t>to</w:t>
          </w:r>
          <w:proofErr w:type="spellEnd"/>
          <w:r w:rsidRPr="00287F16">
            <w:rPr>
              <w:highlight w:val="yellow"/>
            </w:rPr>
            <w:t xml:space="preserve"> </w:t>
          </w:r>
          <w:proofErr w:type="spellStart"/>
          <w:r w:rsidRPr="00287F16">
            <w:rPr>
              <w:highlight w:val="yellow"/>
            </w:rPr>
            <w:t>secure</w:t>
          </w:r>
          <w:proofErr w:type="spellEnd"/>
          <w:r w:rsidRPr="00287F16">
            <w:rPr>
              <w:highlight w:val="yellow"/>
            </w:rPr>
            <w:t xml:space="preserve"> the </w:t>
          </w:r>
          <w:proofErr w:type="spellStart"/>
          <w:r w:rsidRPr="00287F16">
            <w:rPr>
              <w:highlight w:val="yellow"/>
            </w:rPr>
            <w:t>full</w:t>
          </w:r>
          <w:proofErr w:type="spellEnd"/>
          <w:r w:rsidRPr="00287F16">
            <w:rPr>
              <w:highlight w:val="yellow"/>
            </w:rPr>
            <w:t xml:space="preserve"> </w:t>
          </w:r>
          <w:proofErr w:type="spellStart"/>
          <w:r w:rsidRPr="00287F16">
            <w:rPr>
              <w:highlight w:val="yellow"/>
            </w:rPr>
            <w:t>implementation</w:t>
          </w:r>
          <w:proofErr w:type="spellEnd"/>
          <w:r w:rsidRPr="00287F16">
            <w:rPr>
              <w:highlight w:val="yellow"/>
            </w:rPr>
            <w:t xml:space="preserve"> of </w:t>
          </w:r>
          <w:proofErr w:type="spellStart"/>
          <w:r w:rsidRPr="00287F16">
            <w:rPr>
              <w:highlight w:val="yellow"/>
            </w:rPr>
            <w:t>directives</w:t>
          </w:r>
          <w:proofErr w:type="spellEnd"/>
          <w:r w:rsidRPr="00287F16">
            <w:rPr>
              <w:highlight w:val="yellow"/>
            </w:rPr>
            <w:t xml:space="preserve"> in </w:t>
          </w:r>
          <w:proofErr w:type="spellStart"/>
          <w:r w:rsidRPr="00287F16">
            <w:rPr>
              <w:highlight w:val="yellow"/>
            </w:rPr>
            <w:t>law</w:t>
          </w:r>
          <w:proofErr w:type="spellEnd"/>
          <w:r w:rsidRPr="00287F16">
            <w:rPr>
              <w:highlight w:val="yellow"/>
            </w:rPr>
            <w:t xml:space="preserve"> and </w:t>
          </w:r>
          <w:proofErr w:type="spellStart"/>
          <w:r w:rsidRPr="00287F16">
            <w:rPr>
              <w:highlight w:val="yellow"/>
            </w:rPr>
            <w:t>not</w:t>
          </w:r>
          <w:proofErr w:type="spellEnd"/>
          <w:r w:rsidRPr="00287F16">
            <w:rPr>
              <w:highlight w:val="yellow"/>
            </w:rPr>
            <w:t xml:space="preserve"> </w:t>
          </w:r>
          <w:proofErr w:type="spellStart"/>
          <w:r w:rsidRPr="00287F16">
            <w:rPr>
              <w:highlight w:val="yellow"/>
            </w:rPr>
            <w:t>only</w:t>
          </w:r>
          <w:proofErr w:type="spellEnd"/>
          <w:r w:rsidRPr="00287F16">
            <w:rPr>
              <w:highlight w:val="yellow"/>
            </w:rPr>
            <w:t xml:space="preserve"> in </w:t>
          </w:r>
          <w:proofErr w:type="spellStart"/>
          <w:r w:rsidRPr="00287F16">
            <w:rPr>
              <w:highlight w:val="yellow"/>
            </w:rPr>
            <w:t>fact</w:t>
          </w:r>
          <w:proofErr w:type="spellEnd"/>
          <w:r w:rsidRPr="00287F16">
            <w:rPr>
              <w:highlight w:val="yellow"/>
            </w:rPr>
            <w:t xml:space="preserve"> </w:t>
          </w:r>
          <w:proofErr w:type="spellStart"/>
          <w:r w:rsidRPr="00287F16">
            <w:rPr>
              <w:highlight w:val="yellow"/>
            </w:rPr>
            <w:t>require</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all </w:t>
          </w:r>
          <w:proofErr w:type="spellStart"/>
          <w:r w:rsidRPr="00287F16">
            <w:rPr>
              <w:highlight w:val="yellow"/>
            </w:rPr>
            <w:t>Member</w:t>
          </w:r>
          <w:proofErr w:type="spellEnd"/>
          <w:r w:rsidRPr="00287F16">
            <w:rPr>
              <w:highlight w:val="yellow"/>
            </w:rPr>
            <w:t xml:space="preserve"> </w:t>
          </w:r>
          <w:proofErr w:type="spellStart"/>
          <w:r w:rsidRPr="00287F16">
            <w:rPr>
              <w:highlight w:val="yellow"/>
            </w:rPr>
            <w:t>States</w:t>
          </w:r>
          <w:proofErr w:type="spellEnd"/>
          <w:r w:rsidRPr="00287F16">
            <w:rPr>
              <w:highlight w:val="yellow"/>
            </w:rPr>
            <w:t xml:space="preserve"> </w:t>
          </w:r>
          <w:proofErr w:type="spellStart"/>
          <w:r w:rsidRPr="00287F16">
            <w:rPr>
              <w:highlight w:val="yellow"/>
            </w:rPr>
            <w:t>reproduce</w:t>
          </w:r>
          <w:proofErr w:type="spellEnd"/>
          <w:r w:rsidRPr="00287F16">
            <w:rPr>
              <w:highlight w:val="yellow"/>
            </w:rPr>
            <w:t xml:space="preserve"> the </w:t>
          </w:r>
          <w:proofErr w:type="spellStart"/>
          <w:r w:rsidRPr="00287F16">
            <w:rPr>
              <w:highlight w:val="yellow"/>
            </w:rPr>
            <w:t>rules</w:t>
          </w:r>
          <w:proofErr w:type="spellEnd"/>
          <w:r w:rsidRPr="00287F16">
            <w:rPr>
              <w:highlight w:val="yellow"/>
            </w:rPr>
            <w:t xml:space="preserve"> of the </w:t>
          </w:r>
          <w:proofErr w:type="spellStart"/>
          <w:r w:rsidRPr="00287F16">
            <w:rPr>
              <w:highlight w:val="yellow"/>
            </w:rPr>
            <w:t>directive</w:t>
          </w:r>
          <w:proofErr w:type="spellEnd"/>
          <w:r w:rsidRPr="00287F16">
            <w:rPr>
              <w:highlight w:val="yellow"/>
            </w:rPr>
            <w:t xml:space="preserve"> </w:t>
          </w:r>
          <w:proofErr w:type="spellStart"/>
          <w:r w:rsidRPr="00287F16">
            <w:rPr>
              <w:highlight w:val="yellow"/>
            </w:rPr>
            <w:t>concerned</w:t>
          </w:r>
          <w:proofErr w:type="spellEnd"/>
          <w:r w:rsidRPr="00287F16">
            <w:rPr>
              <w:highlight w:val="yellow"/>
            </w:rPr>
            <w:t xml:space="preserve"> </w:t>
          </w:r>
          <w:proofErr w:type="spellStart"/>
          <w:r w:rsidRPr="00287F16">
            <w:rPr>
              <w:highlight w:val="yellow"/>
            </w:rPr>
            <w:t>within</w:t>
          </w:r>
          <w:proofErr w:type="spellEnd"/>
          <w:r w:rsidRPr="00287F16">
            <w:rPr>
              <w:highlight w:val="yellow"/>
            </w:rPr>
            <w:t xml:space="preserve"> a </w:t>
          </w:r>
          <w:proofErr w:type="spellStart"/>
          <w:r w:rsidRPr="00287F16">
            <w:rPr>
              <w:highlight w:val="yellow"/>
            </w:rPr>
            <w:t>clear</w:t>
          </w:r>
          <w:proofErr w:type="spellEnd"/>
          <w:r w:rsidRPr="00287F16">
            <w:rPr>
              <w:highlight w:val="yellow"/>
            </w:rPr>
            <w:t xml:space="preserve">, </w:t>
          </w:r>
          <w:proofErr w:type="spellStart"/>
          <w:r w:rsidRPr="00287F16">
            <w:rPr>
              <w:highlight w:val="yellow"/>
            </w:rPr>
            <w:t>precise</w:t>
          </w:r>
          <w:proofErr w:type="spellEnd"/>
          <w:r w:rsidRPr="00287F16">
            <w:rPr>
              <w:highlight w:val="yellow"/>
            </w:rPr>
            <w:t xml:space="preserve"> and transparent </w:t>
          </w:r>
          <w:proofErr w:type="spellStart"/>
          <w:r w:rsidRPr="00287F16">
            <w:rPr>
              <w:highlight w:val="yellow"/>
            </w:rPr>
            <w:t>framework</w:t>
          </w:r>
          <w:proofErr w:type="spellEnd"/>
          <w:r w:rsidRPr="00287F16">
            <w:rPr>
              <w:highlight w:val="yellow"/>
            </w:rPr>
            <w:t xml:space="preserve"> </w:t>
          </w:r>
          <w:proofErr w:type="spellStart"/>
          <w:r w:rsidRPr="00287F16">
            <w:rPr>
              <w:highlight w:val="yellow"/>
            </w:rPr>
            <w:t>providing</w:t>
          </w:r>
          <w:proofErr w:type="spellEnd"/>
          <w:r w:rsidRPr="00287F16">
            <w:rPr>
              <w:highlight w:val="yellow"/>
            </w:rPr>
            <w:t xml:space="preserve"> </w:t>
          </w:r>
          <w:proofErr w:type="spellStart"/>
          <w:r w:rsidRPr="00287F16">
            <w:rPr>
              <w:highlight w:val="yellow"/>
            </w:rPr>
            <w:t>for</w:t>
          </w:r>
          <w:proofErr w:type="spellEnd"/>
          <w:r w:rsidRPr="00287F16">
            <w:rPr>
              <w:highlight w:val="yellow"/>
            </w:rPr>
            <w:t xml:space="preserve"> </w:t>
          </w:r>
          <w:proofErr w:type="spellStart"/>
          <w:r w:rsidRPr="00287F16">
            <w:rPr>
              <w:highlight w:val="yellow"/>
            </w:rPr>
            <w:t>mandatory</w:t>
          </w:r>
          <w:proofErr w:type="spellEnd"/>
          <w:r w:rsidRPr="00287F16">
            <w:rPr>
              <w:highlight w:val="yellow"/>
            </w:rPr>
            <w:t xml:space="preserve"> </w:t>
          </w:r>
          <w:proofErr w:type="spellStart"/>
          <w:r w:rsidRPr="00287F16">
            <w:rPr>
              <w:highlight w:val="yellow"/>
            </w:rPr>
            <w:t>legal</w:t>
          </w:r>
          <w:proofErr w:type="spellEnd"/>
          <w:r w:rsidRPr="00287F16">
            <w:rPr>
              <w:highlight w:val="yellow"/>
            </w:rPr>
            <w:t xml:space="preserve"> </w:t>
          </w:r>
          <w:proofErr w:type="spellStart"/>
          <w:r w:rsidRPr="00287F16">
            <w:rPr>
              <w:highlight w:val="yellow"/>
            </w:rPr>
            <w:t>provisions</w:t>
          </w:r>
          <w:proofErr w:type="spellEnd"/>
          <w:r>
            <w:t>.</w:t>
          </w:r>
          <w:r w:rsidR="005D0797" w:rsidRPr="00846D93">
            <w:rPr>
              <w:rStyle w:val="FootnoteReference"/>
              <w:lang w:val="en-GB"/>
            </w:rPr>
            <w:footnoteReference w:id="28"/>
          </w:r>
          <w:r>
            <w:t xml:space="preserve"> See kohustus peab seda enam kehtima </w:t>
          </w:r>
          <w:commentRangeStart w:id="15"/>
          <w:r>
            <w:t>paranduseeskirjadele</w:t>
          </w:r>
          <w:commentRangeEnd w:id="15"/>
          <w:r>
            <w:rPr>
              <w:rStyle w:val="CommentReference"/>
            </w:rPr>
            <w:commentReference w:id="15"/>
          </w:r>
          <w:r>
            <w:t xml:space="preserve">, mille liikmesriigid on vastu võtnud või mida nad jõustavad vastavalt direktiivi artikli 5 lõikele 4. </w:t>
          </w:r>
        </w:p>
      </w:sdtContent>
    </w:sdt>
    <w:bookmarkEnd w:id="14" w:displacedByCustomXml="prev"/>
    <w:sdt>
      <w:sdtPr>
        <w:alias w:val=""/>
        <w:tag w:val="ccTag110"/>
        <w:id w:val="110"/>
      </w:sdtPr>
      <w:sdtEndPr/>
      <w:sdtContent>
        <w:p w14:paraId="50A93F36" w14:textId="77777777" w:rsidR="00564118" w:rsidRPr="00846D93" w:rsidRDefault="00564118" w:rsidP="00564118">
          <w:pPr>
            <w:pStyle w:val="01PointAltN"/>
          </w:pPr>
          <w:r>
            <w:t>Õiguskindluse põhimõte nõuab eelkõige selle analüüsimist, kas asjaomane õigusakt on nii ebaselge, et see takistab asjaosalistel jõuda piisava kindlusega selgusele õigusakti ulatuse või mõtte osas tekkinud kahtlustes.</w:t>
          </w:r>
          <w:r w:rsidRPr="00846D93">
            <w:rPr>
              <w:rStyle w:val="FootnoteReference"/>
              <w:lang w:val="en-GB"/>
            </w:rPr>
            <w:footnoteReference w:id="29"/>
          </w:r>
          <w:r>
            <w:t xml:space="preserve"> </w:t>
          </w:r>
          <w:proofErr w:type="spellStart"/>
          <w:r w:rsidRPr="00287F16">
            <w:rPr>
              <w:highlight w:val="yellow"/>
            </w:rPr>
            <w:t>Conversely</w:t>
          </w:r>
          <w:proofErr w:type="spellEnd"/>
          <w:r w:rsidRPr="00287F16">
            <w:rPr>
              <w:highlight w:val="yellow"/>
            </w:rPr>
            <w:t xml:space="preserve">, </w:t>
          </w:r>
          <w:proofErr w:type="spellStart"/>
          <w:r w:rsidRPr="00287F16">
            <w:rPr>
              <w:highlight w:val="yellow"/>
            </w:rPr>
            <w:t>even</w:t>
          </w:r>
          <w:proofErr w:type="spellEnd"/>
          <w:r w:rsidRPr="00287F16">
            <w:rPr>
              <w:highlight w:val="yellow"/>
            </w:rPr>
            <w:t xml:space="preserve"> </w:t>
          </w:r>
          <w:proofErr w:type="spellStart"/>
          <w:r w:rsidRPr="00287F16">
            <w:rPr>
              <w:highlight w:val="yellow"/>
            </w:rPr>
            <w:t>though</w:t>
          </w:r>
          <w:proofErr w:type="spellEnd"/>
          <w:r w:rsidRPr="00287F16">
            <w:rPr>
              <w:highlight w:val="yellow"/>
            </w:rPr>
            <w:t xml:space="preserve"> </w:t>
          </w:r>
          <w:proofErr w:type="spellStart"/>
          <w:r w:rsidRPr="00287F16">
            <w:rPr>
              <w:highlight w:val="yellow"/>
            </w:rPr>
            <w:t>Directive</w:t>
          </w:r>
          <w:proofErr w:type="spellEnd"/>
          <w:r w:rsidRPr="00287F16">
            <w:rPr>
              <w:highlight w:val="yellow"/>
            </w:rPr>
            <w:t xml:space="preserve"> 2004/25 </w:t>
          </w:r>
          <w:proofErr w:type="spellStart"/>
          <w:r w:rsidRPr="00287F16">
            <w:rPr>
              <w:highlight w:val="yellow"/>
            </w:rPr>
            <w:t>is</w:t>
          </w:r>
          <w:proofErr w:type="spellEnd"/>
          <w:r w:rsidRPr="00287F16">
            <w:rPr>
              <w:highlight w:val="yellow"/>
            </w:rPr>
            <w:t xml:space="preserve"> </w:t>
          </w:r>
          <w:proofErr w:type="spellStart"/>
          <w:r w:rsidRPr="00287F16">
            <w:rPr>
              <w:highlight w:val="yellow"/>
            </w:rPr>
            <w:t>undoubtedly</w:t>
          </w:r>
          <w:proofErr w:type="spellEnd"/>
          <w:r w:rsidRPr="00287F16">
            <w:rPr>
              <w:highlight w:val="yellow"/>
            </w:rPr>
            <w:t xml:space="preserve"> </w:t>
          </w:r>
          <w:proofErr w:type="spellStart"/>
          <w:r w:rsidRPr="00287F16">
            <w:rPr>
              <w:highlight w:val="yellow"/>
            </w:rPr>
            <w:t>not</w:t>
          </w:r>
          <w:proofErr w:type="spellEnd"/>
          <w:r w:rsidRPr="00287F16">
            <w:rPr>
              <w:highlight w:val="yellow"/>
            </w:rPr>
            <w:t xml:space="preserve"> a </w:t>
          </w:r>
          <w:proofErr w:type="spellStart"/>
          <w:r w:rsidRPr="00287F16">
            <w:rPr>
              <w:highlight w:val="yellow"/>
            </w:rPr>
            <w:t>legal</w:t>
          </w:r>
          <w:proofErr w:type="spellEnd"/>
          <w:r w:rsidRPr="00287F16">
            <w:rPr>
              <w:highlight w:val="yellow"/>
            </w:rPr>
            <w:t xml:space="preserve"> instrument of </w:t>
          </w:r>
          <w:proofErr w:type="spellStart"/>
          <w:r w:rsidRPr="00287F16">
            <w:rPr>
              <w:highlight w:val="yellow"/>
            </w:rPr>
            <w:t>criminal</w:t>
          </w:r>
          <w:proofErr w:type="spellEnd"/>
          <w:r w:rsidRPr="00287F16">
            <w:rPr>
              <w:highlight w:val="yellow"/>
            </w:rPr>
            <w:t xml:space="preserve"> </w:t>
          </w:r>
          <w:proofErr w:type="spellStart"/>
          <w:r w:rsidRPr="00287F16">
            <w:rPr>
              <w:highlight w:val="yellow"/>
            </w:rPr>
            <w:t>law</w:t>
          </w:r>
          <w:proofErr w:type="spellEnd"/>
          <w:r w:rsidRPr="00287F16">
            <w:rPr>
              <w:highlight w:val="yellow"/>
            </w:rPr>
            <w:t xml:space="preserve"> </w:t>
          </w:r>
          <w:proofErr w:type="spellStart"/>
          <w:r w:rsidRPr="00287F16">
            <w:rPr>
              <w:highlight w:val="yellow"/>
            </w:rPr>
            <w:t>which</w:t>
          </w:r>
          <w:proofErr w:type="spellEnd"/>
          <w:r w:rsidRPr="00287F16">
            <w:rPr>
              <w:highlight w:val="yellow"/>
            </w:rPr>
            <w:t xml:space="preserve"> in </w:t>
          </w:r>
          <w:proofErr w:type="spellStart"/>
          <w:r w:rsidRPr="00287F16">
            <w:rPr>
              <w:highlight w:val="yellow"/>
            </w:rPr>
            <w:t>itself</w:t>
          </w:r>
          <w:proofErr w:type="spellEnd"/>
          <w:r w:rsidRPr="00287F16">
            <w:rPr>
              <w:highlight w:val="yellow"/>
            </w:rPr>
            <w:t xml:space="preserve"> </w:t>
          </w:r>
          <w:proofErr w:type="spellStart"/>
          <w:r w:rsidRPr="00287F16">
            <w:rPr>
              <w:highlight w:val="yellow"/>
            </w:rPr>
            <w:t>requires</w:t>
          </w:r>
          <w:proofErr w:type="spellEnd"/>
          <w:r w:rsidRPr="00287F16">
            <w:rPr>
              <w:highlight w:val="yellow"/>
            </w:rPr>
            <w:t xml:space="preserve"> the </w:t>
          </w:r>
          <w:proofErr w:type="spellStart"/>
          <w:r w:rsidRPr="00287F16">
            <w:rPr>
              <w:highlight w:val="yellow"/>
            </w:rPr>
            <w:t>application</w:t>
          </w:r>
          <w:proofErr w:type="spellEnd"/>
          <w:r w:rsidRPr="00287F16">
            <w:rPr>
              <w:highlight w:val="yellow"/>
            </w:rPr>
            <w:t xml:space="preserve"> of </w:t>
          </w:r>
          <w:proofErr w:type="spellStart"/>
          <w:r w:rsidRPr="00287F16">
            <w:rPr>
              <w:highlight w:val="yellow"/>
            </w:rPr>
            <w:t>conventional</w:t>
          </w:r>
          <w:proofErr w:type="spellEnd"/>
          <w:r w:rsidRPr="00287F16">
            <w:rPr>
              <w:highlight w:val="yellow"/>
            </w:rPr>
            <w:t xml:space="preserve"> </w:t>
          </w:r>
          <w:proofErr w:type="spellStart"/>
          <w:r w:rsidRPr="00287F16">
            <w:rPr>
              <w:highlight w:val="yellow"/>
            </w:rPr>
            <w:t>concepts</w:t>
          </w:r>
          <w:proofErr w:type="spellEnd"/>
          <w:r w:rsidRPr="00287F16">
            <w:rPr>
              <w:highlight w:val="yellow"/>
            </w:rPr>
            <w:t xml:space="preserve"> of </w:t>
          </w:r>
          <w:proofErr w:type="spellStart"/>
          <w:r w:rsidRPr="00287F16">
            <w:rPr>
              <w:highlight w:val="yellow"/>
            </w:rPr>
            <w:t>criminal</w:t>
          </w:r>
          <w:proofErr w:type="spellEnd"/>
          <w:r w:rsidRPr="00287F16">
            <w:rPr>
              <w:highlight w:val="yellow"/>
            </w:rPr>
            <w:t xml:space="preserve"> </w:t>
          </w:r>
          <w:proofErr w:type="spellStart"/>
          <w:r w:rsidRPr="00287F16">
            <w:rPr>
              <w:highlight w:val="yellow"/>
            </w:rPr>
            <w:t>law</w:t>
          </w:r>
          <w:proofErr w:type="spellEnd"/>
          <w:r w:rsidRPr="00287F16">
            <w:rPr>
              <w:highlight w:val="yellow"/>
            </w:rPr>
            <w:t xml:space="preserve"> and </w:t>
          </w:r>
          <w:proofErr w:type="spellStart"/>
          <w:r w:rsidRPr="00287F16">
            <w:rPr>
              <w:highlight w:val="yellow"/>
            </w:rPr>
            <w:t>procedure</w:t>
          </w:r>
          <w:proofErr w:type="spellEnd"/>
          <w:r w:rsidRPr="00287F16">
            <w:rPr>
              <w:highlight w:val="yellow"/>
            </w:rPr>
            <w:t xml:space="preserve">, the mere </w:t>
          </w:r>
          <w:proofErr w:type="spellStart"/>
          <w:r w:rsidRPr="00287F16">
            <w:rPr>
              <w:highlight w:val="yellow"/>
            </w:rPr>
            <w:t>fact</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a </w:t>
          </w:r>
          <w:proofErr w:type="spellStart"/>
          <w:r w:rsidRPr="00287F16">
            <w:rPr>
              <w:highlight w:val="yellow"/>
            </w:rPr>
            <w:t>trader</w:t>
          </w:r>
          <w:proofErr w:type="spellEnd"/>
          <w:r w:rsidRPr="00287F16">
            <w:rPr>
              <w:highlight w:val="yellow"/>
            </w:rPr>
            <w:t xml:space="preserve"> </w:t>
          </w:r>
          <w:proofErr w:type="spellStart"/>
          <w:r w:rsidRPr="00287F16">
            <w:rPr>
              <w:highlight w:val="yellow"/>
            </w:rPr>
            <w:t>cannot</w:t>
          </w:r>
          <w:proofErr w:type="spellEnd"/>
          <w:r w:rsidRPr="00287F16">
            <w:rPr>
              <w:highlight w:val="yellow"/>
            </w:rPr>
            <w:t xml:space="preserve"> </w:t>
          </w:r>
          <w:proofErr w:type="spellStart"/>
          <w:r w:rsidRPr="00287F16">
            <w:rPr>
              <w:highlight w:val="yellow"/>
            </w:rPr>
            <w:t>know</w:t>
          </w:r>
          <w:proofErr w:type="spellEnd"/>
          <w:r w:rsidRPr="00287F16">
            <w:rPr>
              <w:highlight w:val="yellow"/>
            </w:rPr>
            <w:t xml:space="preserve"> in </w:t>
          </w:r>
          <w:proofErr w:type="spellStart"/>
          <w:r w:rsidRPr="00287F16">
            <w:rPr>
              <w:highlight w:val="yellow"/>
            </w:rPr>
            <w:t>advance</w:t>
          </w:r>
          <w:proofErr w:type="spellEnd"/>
          <w:r w:rsidRPr="00287F16">
            <w:rPr>
              <w:highlight w:val="yellow"/>
            </w:rPr>
            <w:t xml:space="preserve"> </w:t>
          </w:r>
          <w:proofErr w:type="spellStart"/>
          <w:r w:rsidRPr="00287F16">
            <w:rPr>
              <w:highlight w:val="yellow"/>
            </w:rPr>
            <w:t>precisely</w:t>
          </w:r>
          <w:proofErr w:type="spellEnd"/>
          <w:r w:rsidRPr="00287F16">
            <w:rPr>
              <w:highlight w:val="yellow"/>
            </w:rPr>
            <w:t xml:space="preserve"> </w:t>
          </w:r>
          <w:proofErr w:type="spellStart"/>
          <w:r w:rsidRPr="00287F16">
            <w:rPr>
              <w:highlight w:val="yellow"/>
            </w:rPr>
            <w:t>what</w:t>
          </w:r>
          <w:proofErr w:type="spellEnd"/>
          <w:r w:rsidRPr="00287F16">
            <w:rPr>
              <w:highlight w:val="yellow"/>
            </w:rPr>
            <w:t xml:space="preserve"> </w:t>
          </w:r>
          <w:proofErr w:type="spellStart"/>
          <w:r w:rsidRPr="00287F16">
            <w:rPr>
              <w:highlight w:val="yellow"/>
            </w:rPr>
            <w:t>level</w:t>
          </w:r>
          <w:proofErr w:type="spellEnd"/>
          <w:r w:rsidRPr="00287F16">
            <w:rPr>
              <w:highlight w:val="yellow"/>
            </w:rPr>
            <w:t xml:space="preserve"> </w:t>
          </w:r>
          <w:proofErr w:type="spellStart"/>
          <w:r w:rsidRPr="00287F16">
            <w:rPr>
              <w:highlight w:val="yellow"/>
            </w:rPr>
            <w:t>or</w:t>
          </w:r>
          <w:proofErr w:type="spellEnd"/>
          <w:r w:rsidRPr="00287F16">
            <w:rPr>
              <w:highlight w:val="yellow"/>
            </w:rPr>
            <w:t xml:space="preserve"> </w:t>
          </w:r>
          <w:proofErr w:type="spellStart"/>
          <w:r w:rsidRPr="00287F16">
            <w:rPr>
              <w:highlight w:val="yellow"/>
            </w:rPr>
            <w:t>type</w:t>
          </w:r>
          <w:proofErr w:type="spellEnd"/>
          <w:r w:rsidRPr="00287F16">
            <w:rPr>
              <w:highlight w:val="yellow"/>
            </w:rPr>
            <w:t xml:space="preserve"> of </w:t>
          </w:r>
          <w:proofErr w:type="spellStart"/>
          <w:r w:rsidRPr="00287F16">
            <w:rPr>
              <w:highlight w:val="yellow"/>
            </w:rPr>
            <w:t>sanction</w:t>
          </w:r>
          <w:proofErr w:type="spellEnd"/>
          <w:r w:rsidRPr="00287F16">
            <w:rPr>
              <w:highlight w:val="yellow"/>
            </w:rPr>
            <w:t xml:space="preserve"> </w:t>
          </w:r>
          <w:proofErr w:type="spellStart"/>
          <w:r w:rsidRPr="00287F16">
            <w:rPr>
              <w:highlight w:val="yellow"/>
            </w:rPr>
            <w:t>might</w:t>
          </w:r>
          <w:proofErr w:type="spellEnd"/>
          <w:r w:rsidRPr="00287F16">
            <w:rPr>
              <w:highlight w:val="yellow"/>
            </w:rPr>
            <w:t xml:space="preserve"> </w:t>
          </w:r>
          <w:proofErr w:type="spellStart"/>
          <w:r w:rsidRPr="00287F16">
            <w:rPr>
              <w:highlight w:val="yellow"/>
            </w:rPr>
            <w:t>be</w:t>
          </w:r>
          <w:proofErr w:type="spellEnd"/>
          <w:r w:rsidRPr="00287F16">
            <w:rPr>
              <w:highlight w:val="yellow"/>
            </w:rPr>
            <w:t xml:space="preserve"> </w:t>
          </w:r>
          <w:proofErr w:type="spellStart"/>
          <w:r w:rsidRPr="00287F16">
            <w:rPr>
              <w:highlight w:val="yellow"/>
            </w:rPr>
            <w:t>imposed</w:t>
          </w:r>
          <w:proofErr w:type="spellEnd"/>
          <w:r w:rsidRPr="00287F16">
            <w:rPr>
              <w:highlight w:val="yellow"/>
            </w:rPr>
            <w:t xml:space="preserve"> in </w:t>
          </w:r>
          <w:proofErr w:type="spellStart"/>
          <w:r w:rsidRPr="00287F16">
            <w:rPr>
              <w:highlight w:val="yellow"/>
            </w:rPr>
            <w:t>each</w:t>
          </w:r>
          <w:proofErr w:type="spellEnd"/>
          <w:r w:rsidRPr="00287F16">
            <w:rPr>
              <w:highlight w:val="yellow"/>
            </w:rPr>
            <w:t xml:space="preserve"> </w:t>
          </w:r>
          <w:proofErr w:type="spellStart"/>
          <w:r w:rsidRPr="00287F16">
            <w:rPr>
              <w:highlight w:val="yellow"/>
            </w:rPr>
            <w:t>individual</w:t>
          </w:r>
          <w:proofErr w:type="spellEnd"/>
          <w:r w:rsidRPr="00287F16">
            <w:rPr>
              <w:highlight w:val="yellow"/>
            </w:rPr>
            <w:t xml:space="preserve"> </w:t>
          </w:r>
          <w:proofErr w:type="spellStart"/>
          <w:r w:rsidRPr="00287F16">
            <w:rPr>
              <w:highlight w:val="yellow"/>
            </w:rPr>
            <w:t>case</w:t>
          </w:r>
          <w:proofErr w:type="spellEnd"/>
          <w:r w:rsidRPr="00287F16">
            <w:rPr>
              <w:highlight w:val="yellow"/>
            </w:rPr>
            <w:t xml:space="preserve"> </w:t>
          </w:r>
          <w:proofErr w:type="spellStart"/>
          <w:r w:rsidRPr="00287F16">
            <w:rPr>
              <w:highlight w:val="yellow"/>
            </w:rPr>
            <w:t>for</w:t>
          </w:r>
          <w:proofErr w:type="spellEnd"/>
          <w:r w:rsidRPr="00287F16">
            <w:rPr>
              <w:highlight w:val="yellow"/>
            </w:rPr>
            <w:t xml:space="preserve"> a </w:t>
          </w:r>
          <w:proofErr w:type="spellStart"/>
          <w:r w:rsidRPr="00287F16">
            <w:rPr>
              <w:highlight w:val="yellow"/>
            </w:rPr>
            <w:t>given</w:t>
          </w:r>
          <w:proofErr w:type="spellEnd"/>
          <w:r w:rsidRPr="00287F16">
            <w:rPr>
              <w:highlight w:val="yellow"/>
            </w:rPr>
            <w:t xml:space="preserve"> </w:t>
          </w:r>
          <w:proofErr w:type="spellStart"/>
          <w:r w:rsidRPr="00287F16">
            <w:rPr>
              <w:highlight w:val="yellow"/>
            </w:rPr>
            <w:t>line</w:t>
          </w:r>
          <w:proofErr w:type="spellEnd"/>
          <w:r w:rsidRPr="00287F16">
            <w:rPr>
              <w:highlight w:val="yellow"/>
            </w:rPr>
            <w:t xml:space="preserve"> of </w:t>
          </w:r>
          <w:proofErr w:type="spellStart"/>
          <w:r w:rsidRPr="00287F16">
            <w:rPr>
              <w:highlight w:val="yellow"/>
            </w:rPr>
            <w:t>conduct</w:t>
          </w:r>
          <w:proofErr w:type="spellEnd"/>
          <w:r w:rsidRPr="00287F16">
            <w:rPr>
              <w:highlight w:val="yellow"/>
            </w:rPr>
            <w:t xml:space="preserve"> </w:t>
          </w:r>
          <w:proofErr w:type="spellStart"/>
          <w:r w:rsidRPr="00287F16">
            <w:rPr>
              <w:highlight w:val="yellow"/>
            </w:rPr>
            <w:t>does</w:t>
          </w:r>
          <w:proofErr w:type="spellEnd"/>
          <w:r w:rsidRPr="00287F16">
            <w:rPr>
              <w:highlight w:val="yellow"/>
            </w:rPr>
            <w:t xml:space="preserve"> </w:t>
          </w:r>
          <w:proofErr w:type="spellStart"/>
          <w:r w:rsidRPr="00287F16">
            <w:rPr>
              <w:highlight w:val="yellow"/>
            </w:rPr>
            <w:t>not</w:t>
          </w:r>
          <w:proofErr w:type="spellEnd"/>
          <w:r w:rsidRPr="00287F16">
            <w:rPr>
              <w:highlight w:val="yellow"/>
            </w:rPr>
            <w:t xml:space="preserve"> </w:t>
          </w:r>
          <w:proofErr w:type="spellStart"/>
          <w:r w:rsidRPr="00287F16">
            <w:rPr>
              <w:highlight w:val="yellow"/>
            </w:rPr>
            <w:t>amount</w:t>
          </w:r>
          <w:proofErr w:type="spellEnd"/>
          <w:r w:rsidRPr="00287F16">
            <w:rPr>
              <w:highlight w:val="yellow"/>
            </w:rPr>
            <w:t xml:space="preserve"> </w:t>
          </w:r>
          <w:proofErr w:type="spellStart"/>
          <w:r w:rsidRPr="00287F16">
            <w:rPr>
              <w:highlight w:val="yellow"/>
            </w:rPr>
            <w:t>to</w:t>
          </w:r>
          <w:proofErr w:type="spellEnd"/>
          <w:r w:rsidRPr="00287F16">
            <w:rPr>
              <w:highlight w:val="yellow"/>
            </w:rPr>
            <w:t xml:space="preserve"> a </w:t>
          </w:r>
          <w:proofErr w:type="spellStart"/>
          <w:r w:rsidRPr="00287F16">
            <w:rPr>
              <w:highlight w:val="yellow"/>
            </w:rPr>
            <w:t>breach</w:t>
          </w:r>
          <w:proofErr w:type="spellEnd"/>
          <w:r w:rsidRPr="00287F16">
            <w:rPr>
              <w:highlight w:val="yellow"/>
            </w:rPr>
            <w:t xml:space="preserve"> of the </w:t>
          </w:r>
          <w:proofErr w:type="spellStart"/>
          <w:r w:rsidRPr="00287F16">
            <w:rPr>
              <w:highlight w:val="yellow"/>
            </w:rPr>
            <w:t>principle</w:t>
          </w:r>
          <w:proofErr w:type="spellEnd"/>
          <w:r w:rsidRPr="00287F16">
            <w:rPr>
              <w:highlight w:val="yellow"/>
            </w:rPr>
            <w:t xml:space="preserve"> </w:t>
          </w:r>
          <w:proofErr w:type="spellStart"/>
          <w:r w:rsidRPr="00287F16">
            <w:rPr>
              <w:highlight w:val="yellow"/>
            </w:rPr>
            <w:t>that</w:t>
          </w:r>
          <w:proofErr w:type="spellEnd"/>
          <w:r w:rsidRPr="00287F16">
            <w:rPr>
              <w:highlight w:val="yellow"/>
            </w:rPr>
            <w:t xml:space="preserve"> </w:t>
          </w:r>
          <w:proofErr w:type="spellStart"/>
          <w:r w:rsidRPr="00287F16">
            <w:rPr>
              <w:highlight w:val="yellow"/>
            </w:rPr>
            <w:t>penalties</w:t>
          </w:r>
          <w:proofErr w:type="spellEnd"/>
          <w:r w:rsidRPr="00287F16">
            <w:rPr>
              <w:highlight w:val="yellow"/>
            </w:rPr>
            <w:t xml:space="preserve"> must </w:t>
          </w:r>
          <w:proofErr w:type="spellStart"/>
          <w:r w:rsidRPr="00287F16">
            <w:rPr>
              <w:highlight w:val="yellow"/>
            </w:rPr>
            <w:t>have</w:t>
          </w:r>
          <w:proofErr w:type="spellEnd"/>
          <w:r w:rsidRPr="00287F16">
            <w:rPr>
              <w:highlight w:val="yellow"/>
            </w:rPr>
            <w:t xml:space="preserve"> a </w:t>
          </w:r>
          <w:proofErr w:type="spellStart"/>
          <w:r w:rsidRPr="00287F16">
            <w:rPr>
              <w:highlight w:val="yellow"/>
            </w:rPr>
            <w:t>proper</w:t>
          </w:r>
          <w:proofErr w:type="spellEnd"/>
          <w:r w:rsidRPr="00287F16">
            <w:rPr>
              <w:highlight w:val="yellow"/>
            </w:rPr>
            <w:t xml:space="preserve"> </w:t>
          </w:r>
          <w:proofErr w:type="spellStart"/>
          <w:r w:rsidRPr="00287F16">
            <w:rPr>
              <w:highlight w:val="yellow"/>
            </w:rPr>
            <w:t>legal</w:t>
          </w:r>
          <w:proofErr w:type="spellEnd"/>
          <w:r w:rsidRPr="00287F16">
            <w:rPr>
              <w:highlight w:val="yellow"/>
            </w:rPr>
            <w:t xml:space="preserve"> </w:t>
          </w:r>
          <w:proofErr w:type="spellStart"/>
          <w:r w:rsidRPr="00287F16">
            <w:rPr>
              <w:highlight w:val="yellow"/>
            </w:rPr>
            <w:t>basis</w:t>
          </w:r>
          <w:bookmarkStart w:id="16" w:name="_GoBack"/>
          <w:bookmarkEnd w:id="16"/>
          <w:proofErr w:type="spellEnd"/>
          <w:r>
            <w:t>.</w:t>
          </w:r>
          <w:r w:rsidRPr="00846D93">
            <w:rPr>
              <w:rStyle w:val="FootnoteReference"/>
              <w:lang w:val="en-GB"/>
            </w:rPr>
            <w:footnoteReference w:id="30"/>
          </w:r>
        </w:p>
      </w:sdtContent>
    </w:sdt>
    <w:sdt>
      <w:sdtPr>
        <w:alias w:val=""/>
        <w:tag w:val="ccTag111"/>
        <w:id w:val="111"/>
      </w:sdtPr>
      <w:sdtEndPr/>
      <w:sdtContent>
        <w:p w14:paraId="07EAC939" w14:textId="77777777" w:rsidR="005D0797" w:rsidRPr="00846D93" w:rsidRDefault="005D0797" w:rsidP="005D0797">
          <w:pPr>
            <w:pStyle w:val="01PointAltN"/>
          </w:pPr>
          <w:r>
            <w:t>Kuigi aga eelmises punktis viidatud kohtupraktika on reeglina seotud mõne füüsilise isiku etteheitega, et õigus ei ole piisavalt selge, et selle põhjal ette näha mõne kindla käitumisviisiga kaasnevaid õiguslikke tagajärgi – mis tavaliselt ei ole vabandus (</w:t>
          </w:r>
          <w:proofErr w:type="spellStart"/>
          <w:r>
            <w:rPr>
              <w:i/>
            </w:rPr>
            <w:t>ignorantia</w:t>
          </w:r>
          <w:proofErr w:type="spellEnd"/>
          <w:r>
            <w:rPr>
              <w:i/>
            </w:rPr>
            <w:t xml:space="preserve"> </w:t>
          </w:r>
          <w:proofErr w:type="spellStart"/>
          <w:r>
            <w:rPr>
              <w:i/>
            </w:rPr>
            <w:t>iuris</w:t>
          </w:r>
          <w:proofErr w:type="spellEnd"/>
          <w:r>
            <w:rPr>
              <w:i/>
            </w:rPr>
            <w:t xml:space="preserve"> non </w:t>
          </w:r>
          <w:proofErr w:type="spellStart"/>
          <w:r>
            <w:rPr>
              <w:i/>
            </w:rPr>
            <w:t>excusat</w:t>
          </w:r>
          <w:proofErr w:type="spellEnd"/>
          <w:r>
            <w:t>) –, ei aita see rahuldavalt lahendada küsimust olukorras, kus liikmesriigi kohus ise ei ole kindel, kuidas oma riigi õigusnorme tõlgendada (</w:t>
          </w:r>
          <w:proofErr w:type="spellStart"/>
          <w:r>
            <w:rPr>
              <w:i/>
            </w:rPr>
            <w:t>iura</w:t>
          </w:r>
          <w:proofErr w:type="spellEnd"/>
          <w:r>
            <w:rPr>
              <w:i/>
            </w:rPr>
            <w:t xml:space="preserve"> non </w:t>
          </w:r>
          <w:proofErr w:type="spellStart"/>
          <w:r>
            <w:rPr>
              <w:i/>
            </w:rPr>
            <w:t>novit</w:t>
          </w:r>
          <w:proofErr w:type="spellEnd"/>
          <w:r>
            <w:rPr>
              <w:i/>
            </w:rPr>
            <w:t xml:space="preserve"> </w:t>
          </w:r>
          <w:proofErr w:type="spellStart"/>
          <w:r>
            <w:rPr>
              <w:i/>
            </w:rPr>
            <w:t>curia</w:t>
          </w:r>
          <w:proofErr w:type="spellEnd"/>
          <w:r>
            <w:t>). Kui Itaalia õiguses oleks valdav mõiste „sobing“ lai tõlgendamine, oleksid hinna kohandamise asjaolud „selgesti määratletud“. Eelotsusetaotluses aga on märgitud, et põhikohtuasjas see nii ei ole.</w:t>
          </w:r>
        </w:p>
      </w:sdtContent>
    </w:sdt>
    <w:sdt>
      <w:sdtPr>
        <w:alias w:val=""/>
        <w:tag w:val="ccTag112"/>
        <w:id w:val="112"/>
      </w:sdtPr>
      <w:sdtEndPr/>
      <w:sdtContent>
        <w:p w14:paraId="55363193" w14:textId="77777777" w:rsidR="000D3875" w:rsidRPr="00846D93" w:rsidRDefault="000D3875" w:rsidP="000D3875">
          <w:pPr>
            <w:pStyle w:val="01PointAltN"/>
          </w:pPr>
          <w:r>
            <w:t>Just seal näitabki direktiivi 2004/25 artikli 5 lõikes 4 kasutatav väljend „selgesti määratletud“, mis on kõigest õiguskindluse põhimõtte väljendus, oma tõelist sisu. Siseriiklikes kohandamiseeskirjades võib muidugi kasutada mõisteid, mis ei ole täpselt määratletud, vaid arenevad liikmesriigi kohtute poolse tõlgendamise käigus aja jooksul välja. Selliste mõistete sisu aga ei saa muuta meelevaldselt pelgalt põhjusel, et liikmesriigi väärtpaberijärelevalve tahab kohaldada neid olukorras, mida need oma eelmise tõlgenduse kohaselt ei hõlmanud, ja samal ajal väita, et need on „selgesti määratletud“. Sellise meelevaldsuse lubamine ohustaks direktiivi eesmärki tagada kogu liidus selgus ja avatus, ja mitte ainult ettevõtjate jaoks.</w:t>
          </w:r>
        </w:p>
      </w:sdtContent>
    </w:sdt>
    <w:sdt>
      <w:sdtPr>
        <w:alias w:val=""/>
        <w:tag w:val="ccTag113"/>
        <w:id w:val="113"/>
      </w:sdtPr>
      <w:sdtEndPr/>
      <w:sdtContent>
        <w:p w14:paraId="1B18B224" w14:textId="77777777" w:rsidR="001A64C9" w:rsidRPr="00846D93" w:rsidRDefault="00561E47" w:rsidP="001A64C9">
          <w:pPr>
            <w:pStyle w:val="01PointAltN"/>
          </w:pPr>
          <w:r>
            <w:t xml:space="preserve">Seda illustreerib eelotsusetaotluse esitanud kohtu märkus oma taotluses, et kui direktiivi 2004/25 ei oleks, oleks ta MTP ja </w:t>
          </w:r>
          <w:proofErr w:type="spellStart"/>
          <w:r>
            <w:t>Lauro</w:t>
          </w:r>
          <w:proofErr w:type="spellEnd"/>
          <w:r>
            <w:t xml:space="preserve"> 61 apellatsioonkaebused rahuldanud. Tegelikult näitavad ainuüksi eelotsusetaotluse esitanud kohtu kahtlused küsimuses, kuidas on õige tõlgendada tema enda riigi õigusnorme, et vaidlusalused Itaalia õigusnormid ei ole direktiivi artikli 5 lõike 4 tähenduses niivõrd „selgesti määratletud“, et nende kohaselt oleks kõrgeima hinna reeglist kõrvalekaldumiseks võimalik mõiste „sobing“ lai tõlgendamine. </w:t>
          </w:r>
        </w:p>
      </w:sdtContent>
    </w:sdt>
    <w:sdt>
      <w:sdtPr>
        <w:alias w:val=""/>
        <w:tag w:val="ccTag114"/>
        <w:id w:val="114"/>
      </w:sdtPr>
      <w:sdtEndPr/>
      <w:sdtContent>
        <w:p w14:paraId="1D76CB79" w14:textId="77777777" w:rsidR="00471BBB" w:rsidRPr="00846D93" w:rsidRDefault="00471BBB" w:rsidP="00471BBB">
          <w:pPr>
            <w:pStyle w:val="01PointAltN"/>
          </w:pPr>
          <w:r>
            <w:t xml:space="preserve">Eespool kirjeldatut arvesse võttes asun seisukohale, et direktiivi 2004/25 artikli 5 lõikega 4 on keelatud kohaldada sellist siseriiklikku õigusnormi, mis volitab liikmesriigi väärtpaberijärelevalvet ülevõtmispakkumises nimetatud hinda </w:t>
          </w:r>
          <w:r>
            <w:lastRenderedPageBreak/>
            <w:t>sobingu korral tõstma, olukorras, mida siis, kui direktiiv ei oleks kohaldatav, ei liigitataks siseriikliku õiguse kohaselt sobinguks.</w:t>
          </w:r>
        </w:p>
      </w:sdtContent>
    </w:sdt>
    <w:sdt>
      <w:sdtPr>
        <w:alias w:val=""/>
        <w:tag w:val="ccTag115"/>
        <w:id w:val="115"/>
      </w:sdtPr>
      <w:sdtEndPr/>
      <w:sdtContent>
        <w:p w14:paraId="7168A3DE" w14:textId="77777777" w:rsidR="00771A25" w:rsidRPr="00846D93" w:rsidRDefault="00561E47" w:rsidP="00771A25">
          <w:pPr>
            <w:pStyle w:val="01PointAltN"/>
          </w:pPr>
          <w:r>
            <w:t xml:space="preserve">Seepärast ei pea ma vajalikuks võtta seisukohta küsimuses, kas </w:t>
          </w:r>
          <w:proofErr w:type="spellStart"/>
          <w:r>
            <w:t>Pirelli</w:t>
          </w:r>
          <w:proofErr w:type="spellEnd"/>
          <w:r>
            <w:t xml:space="preserve"> aktsiate müügil – ja eelkõige aktsionäride kokkuleppe mõjul – on selge ja otsene seos tehinguga, mis tingis </w:t>
          </w:r>
          <w:proofErr w:type="spellStart"/>
          <w:r>
            <w:t>Lauro</w:t>
          </w:r>
          <w:proofErr w:type="spellEnd"/>
          <w:r>
            <w:t> 61 kohustuse esitada ülevõtmispakkumine. See ülesanne, mis nõuab faktide ja tõendite kogumist, jääb lõpliku analüüsi tegemiseks igal juhul eelotsusetaotluse esitanud kohtule.</w:t>
          </w:r>
        </w:p>
      </w:sdtContent>
    </w:sdt>
    <w:sdt>
      <w:sdtPr>
        <w:alias w:val=""/>
        <w:tag w:val="ccTag116"/>
        <w:id w:val="116"/>
      </w:sdtPr>
      <w:sdtEndPr/>
      <w:sdtContent>
        <w:p w14:paraId="56635D5B" w14:textId="77777777" w:rsidR="00E0425A" w:rsidRPr="00846D93" w:rsidRDefault="00DF24DF">
          <w:pPr>
            <w:pStyle w:val="21Titrenumerote1"/>
          </w:pPr>
          <w:r>
            <w:t>Ettepanek</w:t>
          </w:r>
        </w:p>
      </w:sdtContent>
    </w:sdt>
    <w:sdt>
      <w:sdtPr>
        <w:alias w:val=""/>
        <w:tag w:val="ccTag117"/>
        <w:id w:val="117"/>
      </w:sdtPr>
      <w:sdtEndPr/>
      <w:sdtContent>
        <w:p w14:paraId="3D014081" w14:textId="77777777" w:rsidR="00992BF1" w:rsidRPr="00846D93" w:rsidRDefault="00831E5A" w:rsidP="003D3399">
          <w:pPr>
            <w:pStyle w:val="02AlineaAltA"/>
          </w:pPr>
          <w:r>
            <w:t xml:space="preserve">Esitatud põhjendustest lähtudes teen Euroopa Kohtule ettepaneku vastata </w:t>
          </w:r>
          <w:proofErr w:type="spellStart"/>
          <w:r>
            <w:t>Consiglio</w:t>
          </w:r>
          <w:proofErr w:type="spellEnd"/>
          <w:r>
            <w:t xml:space="preserve"> di </w:t>
          </w:r>
          <w:proofErr w:type="spellStart"/>
          <w:r>
            <w:t>Stato</w:t>
          </w:r>
          <w:proofErr w:type="spellEnd"/>
          <w:r>
            <w:t xml:space="preserve"> (Itaalia kõrgeima halduskohtuna tegutsev riiginõukogu) eelotsuseküsimusele nii, et Euroopa Parlamendi ja nõukogu 21. aprilli 2004. aasta direktiivi 2004/25/EÜ ülevõtmispakkumiste kohta, mida on muudetud Euroopa Parlamendi ja nõukogu 11. märtsi 2009. aasta määrusega (EÜ) nr 219/2009, millega kohandatakse teatavaid asutamislepingu artiklis 251 sätestatud menetluse kohaseid õigusakte otsusega 1999/468/EÜ kontrolliga regulatiivmenetluse osas – Kontrolliga regulatiivmenetlusega kohandamine – 2. osa, artikli 5 lõiget 4 on õige tõlgendada nii, et selle sättega on vastuolus sellise siseriikliku õigusnormi kohaldamine, mis volitab siseriiklikku väärtpaberijärelevalvet kohandama ülevõtmispakkumises nimetatud hinda sobingu korral, mida siis, kui direktiiv ei oleks kohaldatav, ei liigitataks siseriikliku õiguse kohaselt sobinguks.</w:t>
          </w:r>
        </w:p>
      </w:sdtContent>
    </w:sdt>
    <w:sectPr w:rsidR="00992BF1" w:rsidRPr="00846D93">
      <w:headerReference w:type="even" r:id="rId19"/>
      <w:headerReference w:type="default" r:id="rId20"/>
      <w:footerReference w:type="even" r:id="rId21"/>
      <w:footerReference w:type="default" r:id="rId22"/>
      <w:headerReference w:type="first" r:id="rId23"/>
      <w:footerReference w:type="first" r:id="rId24"/>
      <w:pgSz w:w="11906" w:h="16838"/>
      <w:pgMar w:top="1701" w:right="1758" w:bottom="1644" w:left="1871" w:header="708" w:footer="708" w:gutter="0"/>
      <w:pgNumType w:start="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arti" w:date="2017-03-08T11:06:00Z" w:initials="MA">
    <w:p w14:paraId="7CEABA91" w14:textId="77777777" w:rsidR="00AD587C" w:rsidRDefault="00CE5DE1">
      <w:pPr>
        <w:pStyle w:val="CommentText"/>
      </w:pPr>
      <w:r>
        <w:rPr>
          <w:rStyle w:val="CommentReference"/>
        </w:rPr>
        <w:annotationRef/>
      </w:r>
      <w:r>
        <w:t>mulle tundub et siin on üks omastav kuskilt puudu: dekreedi konsolideeritud redaktsiooni muudatustega arvestav redaktsioon?</w:t>
      </w:r>
    </w:p>
  </w:comment>
  <w:comment w:id="1" w:author="marti" w:date="2017-03-08T11:13:00Z" w:initials="MA">
    <w:p w14:paraId="540436C6" w14:textId="77777777" w:rsidR="00AD587C" w:rsidRDefault="00CE5DE1">
      <w:pPr>
        <w:pStyle w:val="CommentText"/>
      </w:pPr>
      <w:r>
        <w:rPr>
          <w:rStyle w:val="CommentReference"/>
        </w:rPr>
        <w:annotationRef/>
      </w:r>
      <w:r>
        <w:t>tõstis ühe aktsia hinda 0,03 euro võrra</w:t>
      </w:r>
    </w:p>
  </w:comment>
  <w:comment w:id="3" w:author="marti" w:date="2017-03-08T11:17:00Z" w:initials="MA">
    <w:p w14:paraId="40B62B90" w14:textId="77777777" w:rsidR="00AD587C" w:rsidRDefault="00CE5DE1">
      <w:pPr>
        <w:pStyle w:val="CommentText"/>
      </w:pPr>
      <w:r>
        <w:rPr>
          <w:rStyle w:val="CommentReference"/>
        </w:rPr>
        <w:annotationRef/>
      </w:r>
      <w:r>
        <w:t xml:space="preserve">Itaalias on </w:t>
      </w:r>
      <w:proofErr w:type="spellStart"/>
      <w:r>
        <w:t>wiki</w:t>
      </w:r>
      <w:proofErr w:type="spellEnd"/>
      <w:r>
        <w:t xml:space="preserve"> andmetel maakonnad, see siin on üks neist: </w:t>
      </w:r>
      <w:proofErr w:type="spellStart"/>
      <w:r>
        <w:t>Lazio</w:t>
      </w:r>
      <w:proofErr w:type="spellEnd"/>
      <w:r>
        <w:t xml:space="preserve"> maakonna halduskohus?</w:t>
      </w:r>
    </w:p>
  </w:comment>
  <w:comment w:id="5" w:author="marti" w:date="2017-03-08T11:26:00Z" w:initials="MA">
    <w:p w14:paraId="27B200CA" w14:textId="77777777" w:rsidR="00AD587C" w:rsidRDefault="00CE5DE1">
      <w:pPr>
        <w:pStyle w:val="CommentText"/>
      </w:pPr>
      <w:r>
        <w:rPr>
          <w:rStyle w:val="CommentReference"/>
        </w:rPr>
        <w:annotationRef/>
      </w:r>
      <w:r>
        <w:t>p</w:t>
      </w:r>
      <w:r>
        <w:t>iiramatu?</w:t>
      </w:r>
    </w:p>
  </w:comment>
  <w:comment w:id="6" w:author="marti" w:date="2017-03-08T11:26:00Z" w:initials="MA">
    <w:p w14:paraId="72D5182D" w14:textId="77777777" w:rsidR="00AD587C" w:rsidRDefault="00CE5DE1">
      <w:pPr>
        <w:pStyle w:val="CommentText"/>
      </w:pPr>
      <w:r>
        <w:rPr>
          <w:rStyle w:val="CommentReference"/>
        </w:rPr>
        <w:annotationRef/>
      </w:r>
      <w:r>
        <w:t>ma paneks ka siia hinna - nagu mujal</w:t>
      </w:r>
    </w:p>
  </w:comment>
  <w:comment w:id="7" w:author="marti" w:date="2017-03-08T11:32:00Z" w:initials="MA">
    <w:p w14:paraId="740D6B88" w14:textId="77777777" w:rsidR="00AD587C" w:rsidRDefault="00CE5DE1">
      <w:pPr>
        <w:pStyle w:val="CommentText"/>
      </w:pPr>
      <w:r>
        <w:rPr>
          <w:rStyle w:val="CommentReference"/>
        </w:rPr>
        <w:annotationRef/>
      </w:r>
      <w:r>
        <w:t xml:space="preserve">ma jätan selle küsimuse sinu jaoks, mille aga läbivalt juba ära parandasin: ei ole "rühma aruanne äriühinguõiguse ülevõtmispakkumistega seotud </w:t>
      </w:r>
      <w:proofErr w:type="spellStart"/>
      <w:r>
        <w:t>aspketi</w:t>
      </w:r>
      <w:r>
        <w:t>de</w:t>
      </w:r>
      <w:proofErr w:type="spellEnd"/>
      <w:r>
        <w:t xml:space="preserve"> kohta" vaid "äriühinguõiguse ülevõtmispakkumistega seotud </w:t>
      </w:r>
      <w:proofErr w:type="spellStart"/>
      <w:r>
        <w:t>aspketide</w:t>
      </w:r>
      <w:proofErr w:type="spellEnd"/>
      <w:r>
        <w:t xml:space="preserve"> rühma aruanne"</w:t>
      </w:r>
    </w:p>
  </w:comment>
  <w:comment w:id="8" w:author="HSR" w:date="2017-03-08T09:11:00Z" w:initials="HS">
    <w:p w14:paraId="41E343E8" w14:textId="77777777" w:rsidR="00AD587C" w:rsidRDefault="00CE5DE1">
      <w:pPr>
        <w:pStyle w:val="CommentText"/>
      </w:pPr>
      <w:r>
        <w:rPr>
          <w:rStyle w:val="CommentReference"/>
        </w:rPr>
        <w:annotationRef/>
      </w:r>
      <w:r>
        <w:t>kõrgetasemeline eksperdirühm -- parandaks eestpoolt ka?</w:t>
      </w:r>
    </w:p>
  </w:comment>
  <w:comment w:id="9" w:author="marti" w:date="2017-03-08T11:34:00Z" w:initials="MA">
    <w:p w14:paraId="46B0ECBA" w14:textId="77777777" w:rsidR="00AD587C" w:rsidRDefault="00CE5DE1">
      <w:pPr>
        <w:pStyle w:val="CommentText"/>
      </w:pPr>
      <w:r>
        <w:rPr>
          <w:rStyle w:val="CommentReference"/>
        </w:rPr>
        <w:annotationRef/>
      </w:r>
      <w:r>
        <w:t>eespool pakkusin selle asja ühtlustamist (et pääseda "ülevõtmispakkumises pakutavast hinnast"): mu arust see asi siin sobiks kõige paremini</w:t>
      </w:r>
    </w:p>
  </w:comment>
  <w:comment w:id="10" w:author="marti" w:date="2017-03-08T11:35:00Z" w:initials="MA">
    <w:p w14:paraId="0C76866C" w14:textId="77777777" w:rsidR="00AD587C" w:rsidRDefault="00CE5DE1">
      <w:pPr>
        <w:pStyle w:val="CommentText"/>
      </w:pPr>
      <w:r>
        <w:rPr>
          <w:rStyle w:val="CommentReference"/>
        </w:rPr>
        <w:annotationRef/>
      </w:r>
      <w:r>
        <w:t xml:space="preserve">jah, riigiabi. nagu nõukaajal olid toidutalongid. </w:t>
      </w:r>
    </w:p>
  </w:comment>
  <w:comment w:id="11" w:author="HSR" w:date="2017-03-08T09:19:00Z" w:initials="HS">
    <w:p w14:paraId="3A0F9176" w14:textId="77777777" w:rsidR="00AD587C" w:rsidRDefault="00CE5DE1">
      <w:pPr>
        <w:pStyle w:val="CommentText"/>
      </w:pPr>
      <w:r>
        <w:rPr>
          <w:rStyle w:val="CommentReference"/>
        </w:rPr>
        <w:annotationRef/>
      </w:r>
      <w:proofErr w:type="spellStart"/>
      <w:r>
        <w:t>mna</w:t>
      </w:r>
      <w:proofErr w:type="spellEnd"/>
      <w:r>
        <w:t xml:space="preserve"> sellest kujundist aru ei saa... nn riigijuust? riiklik toiduabi? mis mõttes? paneks vähemalt nn ette?</w:t>
      </w:r>
    </w:p>
  </w:comment>
  <w:comment w:id="12" w:author="marti" w:date="2017-03-05T12:21:00Z" w:initials="MA">
    <w:p w14:paraId="024C2680" w14:textId="77777777" w:rsidR="00AD587C" w:rsidRDefault="00CE5DE1">
      <w:pPr>
        <w:pStyle w:val="CommentText"/>
      </w:pPr>
      <w:r>
        <w:rPr>
          <w:rStyle w:val="CommentReference"/>
        </w:rPr>
        <w:annotationRef/>
      </w:r>
      <w:proofErr w:type="spellStart"/>
      <w:r>
        <w:t>wikis</w:t>
      </w:r>
      <w:proofErr w:type="spellEnd"/>
      <w:r>
        <w:t xml:space="preserve"> on isegi artikkel sell</w:t>
      </w:r>
      <w:r>
        <w:t>e kohta, vaata seda. iseasi kas see pilt siit välja tuleb</w:t>
      </w:r>
    </w:p>
  </w:comment>
  <w:comment w:id="15" w:author="marti" w:date="2017-03-08T11:47:00Z" w:initials="MA">
    <w:p w14:paraId="3E6DACAE" w14:textId="77777777" w:rsidR="00AD587C" w:rsidRDefault="00CE5DE1">
      <w:pPr>
        <w:pStyle w:val="CommentText"/>
      </w:pPr>
      <w:r>
        <w:rPr>
          <w:rStyle w:val="CommentReference"/>
        </w:rPr>
        <w:annotationRef/>
      </w:r>
      <w:r>
        <w:t>kohandamiseeskirjad?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EABA91" w15:done="0"/>
  <w15:commentEx w15:paraId="540436C6" w15:done="0"/>
  <w15:commentEx w15:paraId="40B62B90" w15:done="0"/>
  <w15:commentEx w15:paraId="27B200CA" w15:done="0"/>
  <w15:commentEx w15:paraId="72D5182D" w15:done="0"/>
  <w15:commentEx w15:paraId="740D6B88" w15:done="0"/>
  <w15:commentEx w15:paraId="41E343E8" w15:done="0"/>
  <w15:commentEx w15:paraId="46B0ECBA" w15:done="0"/>
  <w15:commentEx w15:paraId="0C76866C" w15:done="0"/>
  <w15:commentEx w15:paraId="3A0F9176" w15:done="0"/>
  <w15:commentEx w15:paraId="024C2680" w15:done="0"/>
  <w15:commentEx w15:paraId="3E6DACAE"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C0D6B" w14:textId="77777777" w:rsidR="00CE5DE1" w:rsidRDefault="00CE5DE1">
      <w:r>
        <w:separator/>
      </w:r>
    </w:p>
  </w:endnote>
  <w:endnote w:type="continuationSeparator" w:id="0">
    <w:p w14:paraId="723DF5BB" w14:textId="77777777" w:rsidR="00CE5DE1" w:rsidRDefault="00CE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
      <w:tag w:val="RichTC_rtfProvisoryMention_b7632a25-fe1e-4187-b5f9-734afa0dd52d"/>
      <w:id w:val="119"/>
    </w:sdtPr>
    <w:sdtEndPr/>
    <w:sdtContent>
      <w:p w14:paraId="616E01CD" w14:textId="0CF46C32" w:rsidR="0006797D" w:rsidRDefault="0006797D">
        <w:pPr>
          <w:pStyle w:val="Footer"/>
        </w:pPr>
        <w:r>
          <w:fldChar w:fldCharType="begin"/>
        </w:r>
        <w:r>
          <w:instrText xml:space="preserve"> PAGE  \* Arabic \* MERGEFORMAT </w:instrText>
        </w:r>
        <w:r>
          <w:fldChar w:fldCharType="separate"/>
        </w:r>
        <w:r w:rsidR="00287F16" w:rsidRPr="00287F16">
          <w:rPr>
            <w:rStyle w:val="FooterCharacterStyle"/>
            <w:noProof/>
          </w:rPr>
          <w:t>16</w:t>
        </w:r>
        <w:r>
          <w:rPr>
            <w:rStyle w:val="FooterCharacterStyle"/>
          </w:rPr>
          <w:fldChar w:fldCharType="end"/>
        </w:r>
        <w:r>
          <w:ptab w:relativeTo="margin" w:alignment="center" w:leader="none"/>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
      <w:tag w:val="RichTC_rtfProvisoryMention_5cdd21cd-e3b2-4d4b-8618-8fb50576202e"/>
      <w:id w:val="118"/>
    </w:sdtPr>
    <w:sdtEndPr/>
    <w:sdtContent>
      <w:p w14:paraId="6AD0B266" w14:textId="5E8C24C5" w:rsidR="0006797D" w:rsidRDefault="0006797D">
        <w:pPr>
          <w:pStyle w:val="Footer"/>
        </w:pPr>
        <w:r>
          <w:ptab w:relativeTo="margin" w:alignment="center" w:leader="none"/>
        </w:r>
        <w:r>
          <w:ptab w:relativeTo="margin" w:alignment="right" w:leader="none"/>
        </w:r>
        <w:r>
          <w:fldChar w:fldCharType="begin"/>
        </w:r>
        <w:r>
          <w:instrText xml:space="preserve"> PAGE  \* Arabic \* MERGEFORMAT </w:instrText>
        </w:r>
        <w:r>
          <w:fldChar w:fldCharType="separate"/>
        </w:r>
        <w:r w:rsidR="00287F16" w:rsidRPr="00287F16">
          <w:rPr>
            <w:rStyle w:val="FooterCharacterStyle"/>
            <w:noProof/>
          </w:rPr>
          <w:t>15</w:t>
        </w:r>
        <w:r>
          <w:rPr>
            <w:rStyle w:val="FooterCharacterStyle"/>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
      <w:tag w:val="ccTag120"/>
      <w:id w:val="120"/>
    </w:sdtPr>
    <w:sdtEndPr/>
    <w:sdtContent>
      <w:p w14:paraId="208D53B8" w14:textId="77777777" w:rsidR="0006797D" w:rsidRDefault="0006797D">
        <w:pPr>
          <w:pStyle w:val="Footer"/>
        </w:pP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alias w:val=""/>
        <w:tag w:val="ccTag124"/>
        <w:id w:val="124"/>
      </w:sdtPr>
      <w:sdtContent>
        <w:p w14:paraId="40E191FE" w14:textId="77777777" w:rsidR="00CE5DE1" w:rsidRDefault="00CE5DE1">
          <w:pPr>
            <w:pStyle w:val="Footer"/>
          </w:pPr>
          <w:r>
            <w:t xml:space="preserve">     </w:t>
          </w:r>
        </w:p>
      </w:sdtContent>
    </w:sdt>
  </w:footnote>
  <w:footnote w:type="continuationSeparator" w:id="0">
    <w:sdt>
      <w:sdtPr>
        <w:alias w:val=""/>
        <w:tag w:val="ccTag125"/>
        <w:id w:val="125"/>
      </w:sdtPr>
      <w:sdtContent>
        <w:p w14:paraId="3206F5A2" w14:textId="77777777" w:rsidR="00CE5DE1" w:rsidRDefault="00CE5DE1">
          <w:r>
            <w:continuationSeparator/>
          </w:r>
        </w:p>
      </w:sdtContent>
    </w:sdt>
  </w:footnote>
  <w:footnote w:id="1">
    <w:sdt>
      <w:sdtPr>
        <w:alias w:val=""/>
        <w:tag w:val="RichTC_rtfLangueOrig_cdf613ff-ecbf-43d7-8321-ebe2350e90bf"/>
        <w:id w:val="126"/>
      </w:sdtPr>
      <w:sdtEndPr/>
      <w:sdtContent>
        <w:p w14:paraId="5AE72730" w14:textId="77777777" w:rsidR="0006797D" w:rsidRDefault="0006797D">
          <w:pPr>
            <w:pStyle w:val="42FootnoteLangue"/>
          </w:pPr>
          <w:r>
            <w:rPr>
              <w:rStyle w:val="FootnoteReference"/>
            </w:rPr>
            <w:footnoteRef/>
          </w:r>
          <w:r>
            <w:tab/>
            <w:t>Algkeel: inglise.</w:t>
          </w:r>
        </w:p>
      </w:sdtContent>
    </w:sdt>
  </w:footnote>
  <w:footnote w:id="2">
    <w:sdt>
      <w:sdtPr>
        <w:alias w:val=""/>
        <w:tag w:val="ccTag127"/>
        <w:id w:val="127"/>
      </w:sdtPr>
      <w:sdtEndPr/>
      <w:sdtContent>
        <w:p w14:paraId="70D744BC" w14:textId="77777777" w:rsidR="0006797D" w:rsidRPr="00846D93" w:rsidRDefault="0006797D">
          <w:pPr>
            <w:pStyle w:val="FootnoteText"/>
          </w:pPr>
          <w:r>
            <w:rPr>
              <w:rStyle w:val="FootnoteReference"/>
              <w:lang w:val="en-GB"/>
            </w:rPr>
            <w:footnoteRef/>
          </w:r>
          <w:r>
            <w:t xml:space="preserve"> </w:t>
          </w:r>
          <w:r>
            <w:tab/>
          </w:r>
          <w:r>
            <w:t>Euroopa Parlamendi ja nõukogu 21. aprilli 2004. aasta direktiiv 2004/25/EÜ ülevõtmispakkumiste kohta (ELT 2004, L 142, lk 12), mida on muudetud Euroopa Parlamendi ja nõukogu 11. märtsi 2009. aasta määrusega (EÜ) nr 219/2009, millega kohandatakse teatavaid asutamislepingu artiklis 251 sätestatud menetluse kohaseid õigusakte otsusega 1999/468/EÜ kontrolliga regulatiivmenetluse osas – Kontrolliga regulatiivmenetlusega kohandamine – 2. osa (ELT 2009, L 87, lk 109).</w:t>
          </w:r>
        </w:p>
      </w:sdtContent>
    </w:sdt>
  </w:footnote>
  <w:footnote w:id="3">
    <w:sdt>
      <w:sdtPr>
        <w:alias w:val=""/>
        <w:tag w:val="ccTag128"/>
        <w:id w:val="128"/>
      </w:sdtPr>
      <w:sdtEndPr/>
      <w:sdtContent>
        <w:p w14:paraId="0D74DA82" w14:textId="77777777" w:rsidR="0006797D" w:rsidRPr="00E97C22" w:rsidRDefault="0006797D">
          <w:pPr>
            <w:pStyle w:val="FootnoteText"/>
          </w:pPr>
          <w:r>
            <w:rPr>
              <w:rStyle w:val="FootnoteReference"/>
              <w:lang w:val="en-GB"/>
            </w:rPr>
            <w:footnoteRef/>
          </w:r>
          <w:r>
            <w:t xml:space="preserve"> </w:t>
          </w:r>
          <w:r>
            <w:tab/>
          </w:r>
          <w:r>
            <w:t xml:space="preserve">GURI </w:t>
          </w:r>
          <w:proofErr w:type="spellStart"/>
          <w:r>
            <w:t>Serie</w:t>
          </w:r>
          <w:proofErr w:type="spellEnd"/>
          <w:r>
            <w:t xml:space="preserve"> Generale n. 71 </w:t>
          </w:r>
          <w:proofErr w:type="spellStart"/>
          <w:r>
            <w:t>del</w:t>
          </w:r>
          <w:proofErr w:type="spellEnd"/>
          <w:r>
            <w:t xml:space="preserve"> 26 </w:t>
          </w:r>
          <w:proofErr w:type="spellStart"/>
          <w:r>
            <w:t>marzo</w:t>
          </w:r>
          <w:proofErr w:type="spellEnd"/>
          <w:r>
            <w:t xml:space="preserve"> 1998 – </w:t>
          </w:r>
          <w:proofErr w:type="spellStart"/>
          <w:r>
            <w:t>Supplemento</w:t>
          </w:r>
          <w:proofErr w:type="spellEnd"/>
          <w:r>
            <w:t xml:space="preserve"> </w:t>
          </w:r>
          <w:proofErr w:type="spellStart"/>
          <w:r>
            <w:t>Ordinario</w:t>
          </w:r>
          <w:proofErr w:type="spellEnd"/>
          <w:r>
            <w:t xml:space="preserve"> n. 52</w:t>
          </w:r>
        </w:p>
      </w:sdtContent>
    </w:sdt>
  </w:footnote>
  <w:footnote w:id="4">
    <w:sdt>
      <w:sdtPr>
        <w:alias w:val=""/>
        <w:tag w:val="ccTag129"/>
        <w:id w:val="129"/>
      </w:sdtPr>
      <w:sdtEndPr/>
      <w:sdtContent>
        <w:p w14:paraId="56EF6A97" w14:textId="77777777" w:rsidR="0006797D" w:rsidRPr="00124FFB" w:rsidRDefault="0006797D">
          <w:pPr>
            <w:pStyle w:val="FootnoteText"/>
          </w:pPr>
          <w:r>
            <w:rPr>
              <w:rStyle w:val="FootnoteReference"/>
              <w:lang w:val="en-GB"/>
            </w:rPr>
            <w:footnoteRef/>
          </w:r>
          <w:r>
            <w:t xml:space="preserve"> </w:t>
          </w:r>
          <w:r>
            <w:tab/>
          </w:r>
          <w:r>
            <w:t xml:space="preserve">GURI </w:t>
          </w:r>
          <w:proofErr w:type="spellStart"/>
          <w:r>
            <w:t>Serie</w:t>
          </w:r>
          <w:proofErr w:type="spellEnd"/>
          <w:r>
            <w:t xml:space="preserve"> Generale n. 123 </w:t>
          </w:r>
          <w:proofErr w:type="spellStart"/>
          <w:r>
            <w:t>del</w:t>
          </w:r>
          <w:proofErr w:type="spellEnd"/>
          <w:r>
            <w:t xml:space="preserve"> 28 </w:t>
          </w:r>
          <w:proofErr w:type="spellStart"/>
          <w:r>
            <w:t>maggio</w:t>
          </w:r>
          <w:proofErr w:type="spellEnd"/>
          <w:r>
            <w:t xml:space="preserve"> 1999 – </w:t>
          </w:r>
          <w:proofErr w:type="spellStart"/>
          <w:r>
            <w:t>Supplemento</w:t>
          </w:r>
          <w:proofErr w:type="spellEnd"/>
          <w:r>
            <w:t xml:space="preserve"> </w:t>
          </w:r>
          <w:proofErr w:type="spellStart"/>
          <w:r>
            <w:t>Ordinario</w:t>
          </w:r>
          <w:proofErr w:type="spellEnd"/>
          <w:r>
            <w:t xml:space="preserve"> n. 100.</w:t>
          </w:r>
        </w:p>
      </w:sdtContent>
    </w:sdt>
  </w:footnote>
  <w:footnote w:id="5">
    <w:sdt>
      <w:sdtPr>
        <w:alias w:val=""/>
        <w:tag w:val="ccTag130"/>
        <w:id w:val="130"/>
      </w:sdtPr>
      <w:sdtEndPr/>
      <w:sdtContent>
        <w:p w14:paraId="39D919FE" w14:textId="77777777" w:rsidR="0006797D" w:rsidRPr="00AA5546" w:rsidRDefault="0006797D">
          <w:pPr>
            <w:pStyle w:val="FootnoteText"/>
          </w:pPr>
          <w:r>
            <w:rPr>
              <w:rStyle w:val="FootnoteReference"/>
              <w:lang w:val="en-GB"/>
            </w:rPr>
            <w:footnoteRef/>
          </w:r>
          <w:r>
            <w:tab/>
          </w:r>
          <w:r>
            <w:t xml:space="preserve">Selline kõrgem hind arvutati välja, jagades 6,6 miljonit eurot – mis on </w:t>
          </w:r>
          <w:proofErr w:type="spellStart"/>
          <w:r>
            <w:t>Consobi</w:t>
          </w:r>
          <w:proofErr w:type="spellEnd"/>
          <w:r>
            <w:t xml:space="preserve"> väitel soodustus, mille MCI on saanud </w:t>
          </w:r>
          <w:proofErr w:type="spellStart"/>
          <w:r>
            <w:t>Pirelli</w:t>
          </w:r>
          <w:proofErr w:type="spellEnd"/>
          <w:r>
            <w:t xml:space="preserve"> aktsiate eest makstud madalama hinna näol – </w:t>
          </w:r>
          <w:proofErr w:type="spellStart"/>
          <w:r>
            <w:t>Lauro</w:t>
          </w:r>
          <w:proofErr w:type="spellEnd"/>
          <w:r>
            <w:t xml:space="preserve"> 61 poolt omandatud </w:t>
          </w:r>
          <w:proofErr w:type="spellStart"/>
          <w:r>
            <w:t>Camfini</w:t>
          </w:r>
          <w:proofErr w:type="spellEnd"/>
          <w:r>
            <w:t xml:space="preserve"> aktsiate arvuga. Niiviisi kindlaks määratud uus hind põhjustas </w:t>
          </w:r>
          <w:proofErr w:type="spellStart"/>
          <w:r>
            <w:t>Lauro</w:t>
          </w:r>
          <w:proofErr w:type="spellEnd"/>
          <w:r>
            <w:t> 61-le suurema väljamineku, kokku 8,5 miljonit eurot.</w:t>
          </w:r>
        </w:p>
      </w:sdtContent>
    </w:sdt>
  </w:footnote>
  <w:footnote w:id="6">
    <w:sdt>
      <w:sdtPr>
        <w:alias w:val=""/>
        <w:tag w:val="ccTag131"/>
        <w:id w:val="131"/>
      </w:sdtPr>
      <w:sdtEndPr/>
      <w:sdtContent>
        <w:p w14:paraId="58C6F7C5" w14:textId="77777777" w:rsidR="0006797D" w:rsidRPr="007E5F6D" w:rsidRDefault="0006797D">
          <w:pPr>
            <w:pStyle w:val="FootnoteText"/>
          </w:pPr>
          <w:r>
            <w:rPr>
              <w:rStyle w:val="FootnoteReference"/>
              <w:lang w:val="en-GB"/>
            </w:rPr>
            <w:footnoteRef/>
          </w:r>
          <w:r>
            <w:t xml:space="preserve"> </w:t>
          </w:r>
          <w:r>
            <w:tab/>
          </w:r>
          <w:r>
            <w:t xml:space="preserve">Vt kohtuotsus, 15.10.2009, </w:t>
          </w:r>
          <w:proofErr w:type="spellStart"/>
          <w:r>
            <w:t>Audiolux</w:t>
          </w:r>
          <w:proofErr w:type="spellEnd"/>
          <w:r>
            <w:t> jt, C</w:t>
          </w:r>
          <w:r>
            <w:noBreakHyphen/>
            <w:t>101/08, EU:C:2009:626, eriti punktid 47–51.</w:t>
          </w:r>
        </w:p>
      </w:sdtContent>
    </w:sdt>
  </w:footnote>
  <w:footnote w:id="7">
    <w:sdt>
      <w:sdtPr>
        <w:alias w:val=""/>
        <w:tag w:val="ccTag132"/>
        <w:id w:val="132"/>
      </w:sdtPr>
      <w:sdtEndPr/>
      <w:sdtContent>
        <w:p w14:paraId="641C19E1" w14:textId="77777777" w:rsidR="0006797D" w:rsidRPr="003A1C30" w:rsidRDefault="0006797D">
          <w:pPr>
            <w:pStyle w:val="FootnoteText"/>
          </w:pPr>
          <w:r>
            <w:rPr>
              <w:rStyle w:val="FootnoteReference"/>
              <w:lang w:val="en-GB"/>
            </w:rPr>
            <w:footnoteRef/>
          </w:r>
          <w:r>
            <w:t xml:space="preserve"> </w:t>
          </w:r>
          <w:r>
            <w:tab/>
          </w:r>
          <w:r>
            <w:t xml:space="preserve">Kohtuasjad, </w:t>
          </w:r>
          <w:proofErr w:type="spellStart"/>
          <w:r>
            <w:t>Amber</w:t>
          </w:r>
          <w:proofErr w:type="spellEnd"/>
          <w:r>
            <w:t xml:space="preserve"> </w:t>
          </w:r>
          <w:proofErr w:type="spellStart"/>
          <w:r>
            <w:t>Capital</w:t>
          </w:r>
          <w:proofErr w:type="spellEnd"/>
          <w:r>
            <w:t xml:space="preserve"> </w:t>
          </w:r>
          <w:proofErr w:type="spellStart"/>
          <w:r>
            <w:t>Italia</w:t>
          </w:r>
          <w:proofErr w:type="spellEnd"/>
          <w:r>
            <w:t xml:space="preserve"> ja </w:t>
          </w:r>
          <w:proofErr w:type="spellStart"/>
          <w:r>
            <w:t>Amber</w:t>
          </w:r>
          <w:proofErr w:type="spellEnd"/>
          <w:r>
            <w:t xml:space="preserve"> </w:t>
          </w:r>
          <w:proofErr w:type="spellStart"/>
          <w:r>
            <w:t>Capital</w:t>
          </w:r>
          <w:proofErr w:type="spellEnd"/>
          <w:r>
            <w:t xml:space="preserve"> UK, C</w:t>
          </w:r>
          <w:r>
            <w:noBreakHyphen/>
            <w:t xml:space="preserve">654/16; </w:t>
          </w:r>
          <w:proofErr w:type="spellStart"/>
          <w:r>
            <w:t>Hitachi</w:t>
          </w:r>
          <w:proofErr w:type="spellEnd"/>
          <w:r>
            <w:t xml:space="preserve"> Rail </w:t>
          </w:r>
          <w:proofErr w:type="spellStart"/>
          <w:r>
            <w:t>Italy</w:t>
          </w:r>
          <w:proofErr w:type="spellEnd"/>
          <w:r>
            <w:t xml:space="preserve"> </w:t>
          </w:r>
          <w:proofErr w:type="spellStart"/>
          <w:r>
            <w:t>Investments</w:t>
          </w:r>
          <w:proofErr w:type="spellEnd"/>
          <w:r>
            <w:t>, C</w:t>
          </w:r>
          <w:r>
            <w:noBreakHyphen/>
            <w:t xml:space="preserve">655/16; </w:t>
          </w:r>
          <w:proofErr w:type="spellStart"/>
          <w:r>
            <w:t>Finmeccanica</w:t>
          </w:r>
          <w:proofErr w:type="spellEnd"/>
          <w:r>
            <w:t>, C</w:t>
          </w:r>
          <w:r>
            <w:noBreakHyphen/>
            <w:t xml:space="preserve">656/16; </w:t>
          </w:r>
          <w:proofErr w:type="spellStart"/>
          <w:r>
            <w:t>Bluebell</w:t>
          </w:r>
          <w:proofErr w:type="spellEnd"/>
          <w:r>
            <w:t xml:space="preserve"> </w:t>
          </w:r>
          <w:proofErr w:type="spellStart"/>
          <w:r>
            <w:t>Partners</w:t>
          </w:r>
          <w:proofErr w:type="spellEnd"/>
          <w:r>
            <w:t xml:space="preserve"> </w:t>
          </w:r>
          <w:proofErr w:type="spellStart"/>
          <w:r>
            <w:t>Limited</w:t>
          </w:r>
          <w:proofErr w:type="spellEnd"/>
          <w:r>
            <w:t>, C</w:t>
          </w:r>
          <w:r>
            <w:noBreakHyphen/>
            <w:t xml:space="preserve">657/16; ja </w:t>
          </w:r>
          <w:proofErr w:type="spellStart"/>
          <w:r>
            <w:t>Elliot</w:t>
          </w:r>
          <w:proofErr w:type="spellEnd"/>
          <w:r>
            <w:t xml:space="preserve"> International jt, C</w:t>
          </w:r>
          <w:r>
            <w:noBreakHyphen/>
            <w:t>658/16 – kõik Euroopa Kohtus menetlemisel.</w:t>
          </w:r>
        </w:p>
      </w:sdtContent>
    </w:sdt>
  </w:footnote>
  <w:footnote w:id="8">
    <w:sdt>
      <w:sdtPr>
        <w:alias w:val=""/>
        <w:tag w:val="ccTag133"/>
        <w:id w:val="133"/>
      </w:sdtPr>
      <w:sdtEndPr/>
      <w:sdtContent>
        <w:p w14:paraId="2519BA5C" w14:textId="77777777" w:rsidR="0006797D" w:rsidRPr="00231617" w:rsidRDefault="0006797D" w:rsidP="00973814">
          <w:pPr>
            <w:pStyle w:val="FootnoteText"/>
          </w:pPr>
          <w:r>
            <w:rPr>
              <w:rStyle w:val="FootnoteReference"/>
              <w:lang w:val="en-GB"/>
            </w:rPr>
            <w:footnoteRef/>
          </w:r>
          <w:r>
            <w:t xml:space="preserve"> </w:t>
          </w:r>
          <w:r>
            <w:tab/>
          </w:r>
          <w:r>
            <w:t xml:space="preserve">Samamoodi jääb küsimus, millega liikmesriigi kohus soovib Euroopa Kohtu käest teada, kas ta võib või peab siseriiklikku õigust tõlgendama ELi õigusega kõige suuremas kooskõlas oleval moel, ikkagi siseriikliku õiguse tõlgendamise küsimuseks ja on seega vastuvõetamatu: vt kohtuotsus, 27.2.2014, </w:t>
          </w:r>
          <w:proofErr w:type="spellStart"/>
          <w:r>
            <w:t>Pohotovosť</w:t>
          </w:r>
          <w:proofErr w:type="spellEnd"/>
          <w:r>
            <w:t>, C</w:t>
          </w:r>
          <w:r>
            <w:noBreakHyphen/>
            <w:t>470/12, EU:C:2014:101, punktid 58–61.</w:t>
          </w:r>
        </w:p>
      </w:sdtContent>
    </w:sdt>
  </w:footnote>
  <w:footnote w:id="9">
    <w:sdt>
      <w:sdtPr>
        <w:alias w:val=""/>
        <w:tag w:val="ccTag134"/>
        <w:id w:val="134"/>
      </w:sdtPr>
      <w:sdtEndPr/>
      <w:sdtContent>
        <w:p w14:paraId="670F2B4B" w14:textId="77777777" w:rsidR="0006797D" w:rsidRPr="00226E58" w:rsidRDefault="0006797D" w:rsidP="00C801BD">
          <w:pPr>
            <w:pStyle w:val="FootnoteText"/>
          </w:pPr>
          <w:r>
            <w:rPr>
              <w:rStyle w:val="FootnoteReference"/>
              <w:lang w:val="en-GB"/>
            </w:rPr>
            <w:footnoteRef/>
          </w:r>
          <w:r>
            <w:t xml:space="preserve"> </w:t>
          </w:r>
          <w:r>
            <w:tab/>
          </w:r>
          <w:r>
            <w:t xml:space="preserve">Selle kohta vt äriühinguõiguse ülevõtmispakkumistega seotud aspektide ekspertide kõrgetasemelise rühma aruanne, Brüssel, 10.1.2002, lk 50. </w:t>
          </w:r>
        </w:p>
      </w:sdtContent>
    </w:sdt>
  </w:footnote>
  <w:footnote w:id="10">
    <w:sdt>
      <w:sdtPr>
        <w:alias w:val=""/>
        <w:tag w:val="ccTag135"/>
        <w:id w:val="135"/>
      </w:sdtPr>
      <w:sdtEndPr/>
      <w:sdtContent>
        <w:p w14:paraId="4BFCCE36" w14:textId="77777777" w:rsidR="0006797D" w:rsidRPr="00E51579" w:rsidRDefault="0006797D">
          <w:pPr>
            <w:pStyle w:val="FootnoteText"/>
          </w:pPr>
          <w:r>
            <w:rPr>
              <w:rStyle w:val="FootnoteReference"/>
              <w:lang w:val="en-GB"/>
            </w:rPr>
            <w:footnoteRef/>
          </w:r>
          <w:r>
            <w:t xml:space="preserve"> </w:t>
          </w:r>
          <w:r>
            <w:tab/>
          </w:r>
          <w:r>
            <w:t xml:space="preserve">Sama väidab </w:t>
          </w:r>
          <w:proofErr w:type="spellStart"/>
          <w:r>
            <w:t>Enriques</w:t>
          </w:r>
          <w:proofErr w:type="spellEnd"/>
          <w:r>
            <w:t xml:space="preserve">, L., „The </w:t>
          </w:r>
          <w:proofErr w:type="spellStart"/>
          <w:r>
            <w:t>Mandatory</w:t>
          </w:r>
          <w:proofErr w:type="spellEnd"/>
          <w:r>
            <w:t xml:space="preserve"> </w:t>
          </w:r>
          <w:proofErr w:type="spellStart"/>
          <w:r>
            <w:t>Bid</w:t>
          </w:r>
          <w:proofErr w:type="spellEnd"/>
          <w:r>
            <w:t xml:space="preserve"> </w:t>
          </w:r>
          <w:proofErr w:type="spellStart"/>
          <w:r>
            <w:t>Rule</w:t>
          </w:r>
          <w:proofErr w:type="spellEnd"/>
          <w:r>
            <w:t xml:space="preserve"> in the </w:t>
          </w:r>
          <w:proofErr w:type="spellStart"/>
          <w:r>
            <w:t>Takeover</w:t>
          </w:r>
          <w:proofErr w:type="spellEnd"/>
          <w:r>
            <w:t xml:space="preserve"> </w:t>
          </w:r>
          <w:proofErr w:type="spellStart"/>
          <w:r>
            <w:t>Directive</w:t>
          </w:r>
          <w:proofErr w:type="spellEnd"/>
          <w:r>
            <w:t xml:space="preserve">: </w:t>
          </w:r>
          <w:proofErr w:type="spellStart"/>
          <w:r>
            <w:t>Harmonization</w:t>
          </w:r>
          <w:proofErr w:type="spellEnd"/>
          <w:r>
            <w:t xml:space="preserve"> </w:t>
          </w:r>
          <w:proofErr w:type="spellStart"/>
          <w:r>
            <w:t>Without</w:t>
          </w:r>
          <w:proofErr w:type="spellEnd"/>
          <w:r>
            <w:t xml:space="preserve"> </w:t>
          </w:r>
          <w:proofErr w:type="spellStart"/>
          <w:r>
            <w:t>Foundation</w:t>
          </w:r>
          <w:proofErr w:type="spellEnd"/>
          <w:r>
            <w:t xml:space="preserve">?“ – </w:t>
          </w:r>
          <w:proofErr w:type="spellStart"/>
          <w:r>
            <w:rPr>
              <w:i/>
            </w:rPr>
            <w:t>European</w:t>
          </w:r>
          <w:proofErr w:type="spellEnd"/>
          <w:r>
            <w:rPr>
              <w:i/>
            </w:rPr>
            <w:t xml:space="preserve"> </w:t>
          </w:r>
          <w:proofErr w:type="spellStart"/>
          <w:r>
            <w:rPr>
              <w:i/>
            </w:rPr>
            <w:t>Company</w:t>
          </w:r>
          <w:proofErr w:type="spellEnd"/>
          <w:r>
            <w:rPr>
              <w:i/>
            </w:rPr>
            <w:t xml:space="preserve"> and </w:t>
          </w:r>
          <w:proofErr w:type="spellStart"/>
          <w:r>
            <w:rPr>
              <w:i/>
            </w:rPr>
            <w:t>Financial</w:t>
          </w:r>
          <w:proofErr w:type="spellEnd"/>
          <w:r>
            <w:rPr>
              <w:i/>
            </w:rPr>
            <w:t xml:space="preserve"> </w:t>
          </w:r>
          <w:proofErr w:type="spellStart"/>
          <w:r>
            <w:rPr>
              <w:i/>
            </w:rPr>
            <w:t>Law</w:t>
          </w:r>
          <w:proofErr w:type="spellEnd"/>
          <w:r>
            <w:rPr>
              <w:i/>
            </w:rPr>
            <w:t xml:space="preserve"> </w:t>
          </w:r>
          <w:proofErr w:type="spellStart"/>
          <w:r>
            <w:rPr>
              <w:i/>
            </w:rPr>
            <w:t>Review</w:t>
          </w:r>
          <w:proofErr w:type="spellEnd"/>
          <w:r>
            <w:t>, nr 4, 2004, lk 440, lk 446, kes märgib, et „konkreetselt õiglast hinda silmas pidades on liikmesriikidel ja nende järelevalveasutustel lai kaalutlusõigus hinna alandamist õigustavate asjaolude ja kriteeriumide kindlaksmääramisel“.</w:t>
          </w:r>
        </w:p>
      </w:sdtContent>
    </w:sdt>
  </w:footnote>
  <w:footnote w:id="11">
    <w:sdt>
      <w:sdtPr>
        <w:alias w:val=""/>
        <w:tag w:val="ccTag136"/>
        <w:id w:val="136"/>
      </w:sdtPr>
      <w:sdtEndPr/>
      <w:sdtContent>
        <w:p w14:paraId="3C7FD206" w14:textId="77777777" w:rsidR="0006797D" w:rsidRPr="00A35C9E" w:rsidRDefault="0006797D" w:rsidP="006D3691">
          <w:pPr>
            <w:pStyle w:val="FootnoteText"/>
          </w:pPr>
          <w:r>
            <w:rPr>
              <w:rStyle w:val="FootnoteReference"/>
              <w:lang w:val="en-GB"/>
            </w:rPr>
            <w:footnoteRef/>
          </w:r>
          <w:r>
            <w:t xml:space="preserve"> </w:t>
          </w:r>
          <w:r>
            <w:tab/>
          </w:r>
          <w:r>
            <w:t>Erinevalt komisjoni ettepanekust, mis käsitleb Euroopa Parlamendi ja nõukogu direktiivi ülevõtmispakkumiste kohta, KOM(2002) 534 lõplik (EÜT 2003, C 45 E, lk 1), ei ole direktiivi 2004/25 artikli 5 lõike 4 teises lõigus sätestatud, et liikmesriigid „koostavad“, vaid nad „võivad koostada“ nimekirja tingimustest, mille korral kõrgeimat hinda võib kohandada.</w:t>
          </w:r>
        </w:p>
      </w:sdtContent>
    </w:sdt>
  </w:footnote>
  <w:footnote w:id="12">
    <w:sdt>
      <w:sdtPr>
        <w:alias w:val=""/>
        <w:tag w:val="ccTag137"/>
        <w:id w:val="137"/>
      </w:sdtPr>
      <w:sdtEndPr/>
      <w:sdtContent>
        <w:p w14:paraId="0EA8F2F2" w14:textId="77777777" w:rsidR="0006797D" w:rsidRPr="00985159" w:rsidRDefault="0006797D">
          <w:pPr>
            <w:pStyle w:val="FootnoteText"/>
          </w:pPr>
          <w:r>
            <w:rPr>
              <w:rStyle w:val="FootnoteReference"/>
              <w:lang w:val="en-GB"/>
            </w:rPr>
            <w:footnoteRef/>
          </w:r>
          <w:r>
            <w:t xml:space="preserve"> </w:t>
          </w:r>
          <w:r>
            <w:tab/>
          </w:r>
          <w:r>
            <w:t>Direktiivi 2004/25 põhjenduse 25 kohaselt on direktiivi eesmärk „miinimumnõuete kehtestamine ülevõtmispakkumiste menetlusele ja väärtpaberiomanikele piisava kaitse tagamine kogu [liidus]“.</w:t>
          </w:r>
        </w:p>
      </w:sdtContent>
    </w:sdt>
  </w:footnote>
  <w:footnote w:id="13">
    <w:sdt>
      <w:sdtPr>
        <w:alias w:val=""/>
        <w:tag w:val="ccTag138"/>
        <w:id w:val="138"/>
      </w:sdtPr>
      <w:sdtEndPr/>
      <w:sdtContent>
        <w:p w14:paraId="027CDB53" w14:textId="77777777" w:rsidR="0006797D" w:rsidRPr="00A35C9E" w:rsidRDefault="0006797D" w:rsidP="00023E32">
          <w:pPr>
            <w:pStyle w:val="FootnoteText"/>
          </w:pPr>
          <w:r>
            <w:rPr>
              <w:rStyle w:val="FootnoteReference"/>
              <w:lang w:val="en-GB"/>
            </w:rPr>
            <w:footnoteRef/>
          </w:r>
          <w:r>
            <w:t xml:space="preserve"> </w:t>
          </w:r>
          <w:r>
            <w:tab/>
          </w:r>
          <w:r>
            <w:t>Vt nt 8. detsembri 2003. aasta aruanne ülevõtmispakkumisi käsitleva Euroopa Parlamendi ja nõukogu direktiivi ettepaneku kohta, Euroopa Parlamendi õigusasjade ja siseturu komisjon, A5-0469/2003 lõplik, lk 18, vrd lk 6, ja nõukogu 16. detsembri 2003. aasta dokument nr 16116/03 ülevõtmispakkumisi käsitleva Euroopa Parlamendi ja nõukogu direktiivi ettepaneku kohta, II punkt (institutsioonidevaheline dokument nr 2002/0240 (COD)).</w:t>
          </w:r>
        </w:p>
      </w:sdtContent>
    </w:sdt>
  </w:footnote>
  <w:footnote w:id="14">
    <w:sdt>
      <w:sdtPr>
        <w:alias w:val=""/>
        <w:tag w:val="ccTag139"/>
        <w:id w:val="139"/>
      </w:sdtPr>
      <w:sdtEndPr/>
      <w:sdtContent>
        <w:p w14:paraId="0AF6B57B" w14:textId="77777777" w:rsidR="0006797D" w:rsidRPr="001B073F" w:rsidRDefault="0006797D" w:rsidP="00023E32">
          <w:pPr>
            <w:pStyle w:val="FootnoteText"/>
          </w:pPr>
          <w:r>
            <w:rPr>
              <w:rStyle w:val="FootnoteReference"/>
              <w:lang w:val="en-GB"/>
            </w:rPr>
            <w:footnoteRef/>
          </w:r>
          <w:r>
            <w:t xml:space="preserve"> </w:t>
          </w:r>
          <w:r>
            <w:tab/>
          </w:r>
          <w:r>
            <w:t>14. juuni 1985. aasta valge raamat komisjonilt Euroopa Ülemkogule: siseturu loomine (KOM(85) 310 lõplik), punk 139 jj. </w:t>
          </w:r>
        </w:p>
      </w:sdtContent>
    </w:sdt>
  </w:footnote>
  <w:footnote w:id="15">
    <w:sdt>
      <w:sdtPr>
        <w:alias w:val=""/>
        <w:tag w:val="ccTag140"/>
        <w:id w:val="140"/>
      </w:sdtPr>
      <w:sdtEndPr/>
      <w:sdtContent>
        <w:p w14:paraId="359CD740" w14:textId="77777777" w:rsidR="0006797D" w:rsidRPr="001B073F" w:rsidRDefault="0006797D" w:rsidP="00023E32">
          <w:pPr>
            <w:pStyle w:val="FootnoteText"/>
          </w:pPr>
          <w:r>
            <w:rPr>
              <w:rStyle w:val="FootnoteReference"/>
              <w:lang w:val="en-GB"/>
            </w:rPr>
            <w:footnoteRef/>
          </w:r>
          <w:r>
            <w:t xml:space="preserve"> </w:t>
          </w:r>
          <w:r>
            <w:tab/>
          </w:r>
          <w:r>
            <w:t xml:space="preserve">Vt komisjoni 19. jaanuari 1989. aasta ettepanek: kolmeteistkümnes nõukogu direktiiv äriühinguõiguse kohta, mis käsitleb </w:t>
          </w:r>
          <w:proofErr w:type="spellStart"/>
          <w:r>
            <w:t>ülevõtmis</w:t>
          </w:r>
          <w:proofErr w:type="spellEnd"/>
          <w:r>
            <w:t>- ja muid üldisi pakkumisi (KOM(88) 823 lõplik; EÜT 1989, C 64, lk 8), ja komisjoni 7. veebruari 1996. aasta ettepanek: Euroopa Parlamendi ja nõukogu 13. direktiiv äriühinguõiguse kohta, mis käsitleb ülevõtmispakkumisi (KOM(95) 655 lõplik; EÜT 1996, C 162, lk 5).</w:t>
          </w:r>
        </w:p>
      </w:sdtContent>
    </w:sdt>
  </w:footnote>
  <w:footnote w:id="16">
    <w:sdt>
      <w:sdtPr>
        <w:alias w:val=""/>
        <w:tag w:val="ccTag141"/>
        <w:id w:val="141"/>
      </w:sdtPr>
      <w:sdtEndPr/>
      <w:sdtContent>
        <w:p w14:paraId="5CFA791F" w14:textId="77777777" w:rsidR="0006797D" w:rsidRPr="001B073F" w:rsidRDefault="0006797D" w:rsidP="00023E32">
          <w:pPr>
            <w:pStyle w:val="FootnoteText"/>
          </w:pPr>
          <w:r>
            <w:rPr>
              <w:rStyle w:val="FootnoteReference"/>
              <w:lang w:val="en-GB"/>
            </w:rPr>
            <w:footnoteRef/>
          </w:r>
          <w:r>
            <w:t xml:space="preserve"> </w:t>
          </w:r>
          <w:r>
            <w:tab/>
          </w:r>
          <w:r>
            <w:t>Vt komisjoni avaldus nõukogu 12. märtsi 2004. aasta dokumendis nr 7088/04, mis käsitleb ülevõtmispakkumisi käsitleva Euroopa Parlamendi ja nõukogu direktiivi vastuvõtmist, punkt 2 (institutsioonidevaheline dokument nr 2002/0240 (COD)).</w:t>
          </w:r>
        </w:p>
      </w:sdtContent>
    </w:sdt>
  </w:footnote>
  <w:footnote w:id="17">
    <w:sdt>
      <w:sdtPr>
        <w:alias w:val=""/>
        <w:tag w:val="ccTag142"/>
        <w:id w:val="142"/>
      </w:sdtPr>
      <w:sdtEndPr/>
      <w:sdtContent>
        <w:p w14:paraId="100584BD" w14:textId="77777777" w:rsidR="0006797D" w:rsidRPr="00AB78FB" w:rsidRDefault="0006797D">
          <w:pPr>
            <w:pStyle w:val="FootnoteText"/>
          </w:pPr>
          <w:r>
            <w:rPr>
              <w:rStyle w:val="FootnoteReference"/>
              <w:lang w:val="en-GB"/>
            </w:rPr>
            <w:footnoteRef/>
          </w:r>
          <w:r>
            <w:t xml:space="preserve"> </w:t>
          </w:r>
          <w:r>
            <w:tab/>
          </w:r>
          <w:r>
            <w:t>Direktiivi 2004/25 põhjenduses 6 on märgitud, et „[t]</w:t>
          </w:r>
          <w:proofErr w:type="spellStart"/>
          <w:r>
            <w:t>õhususe</w:t>
          </w:r>
          <w:proofErr w:type="spellEnd"/>
          <w:r>
            <w:t xml:space="preserve"> tagamiseks peaksid ettevõtete ülevõtmise eeskirjad olema paindlikud ja nende abil peaks olema võimalik käsitleda uudseid olukordi, kui sellised ilmnevad, ja need peaksid seega võimaldama ka erandite tegemist. </w:t>
          </w:r>
          <w:r>
            <w:rPr>
              <w:i/>
            </w:rPr>
            <w:t>Järelevalveasutused peaksid siiski eeskirjade kohaldamisel või nendest kõrvalekallete võimaldamisel järgima teatavaid üldisi põhimõtteid</w:t>
          </w:r>
          <w:r>
            <w:t>“ (kohtujuristi kursiiv).</w:t>
          </w:r>
        </w:p>
      </w:sdtContent>
    </w:sdt>
  </w:footnote>
  <w:footnote w:id="18">
    <w:sdt>
      <w:sdtPr>
        <w:alias w:val=""/>
        <w:tag w:val="ccTag143"/>
        <w:id w:val="143"/>
      </w:sdtPr>
      <w:sdtEndPr/>
      <w:sdtContent>
        <w:p w14:paraId="3EC1FE68" w14:textId="77777777" w:rsidR="0006797D" w:rsidRPr="008B549C" w:rsidRDefault="0006797D" w:rsidP="0019073C">
          <w:pPr>
            <w:pStyle w:val="FootnoteText"/>
          </w:pPr>
          <w:r>
            <w:rPr>
              <w:rStyle w:val="FootnoteReference"/>
              <w:lang w:val="en-GB"/>
            </w:rPr>
            <w:footnoteRef/>
          </w:r>
          <w:r>
            <w:t xml:space="preserve"> </w:t>
          </w:r>
          <w:r>
            <w:tab/>
          </w:r>
          <w:r>
            <w:t>Vt äriühinguõiguse ülevõtmispakkumistega seotud aspektide ekspertide kõrgetasemelise rühma aruanne, 10.1.2002, lk 49 ja 50.</w:t>
          </w:r>
        </w:p>
      </w:sdtContent>
    </w:sdt>
  </w:footnote>
  <w:footnote w:id="19">
    <w:sdt>
      <w:sdtPr>
        <w:alias w:val=""/>
        <w:tag w:val="ccTag144"/>
        <w:id w:val="144"/>
      </w:sdtPr>
      <w:sdtEndPr/>
      <w:sdtContent>
        <w:p w14:paraId="3349BB04" w14:textId="77777777" w:rsidR="0006797D" w:rsidRPr="00A6691B" w:rsidRDefault="0006797D" w:rsidP="0019073C">
          <w:pPr>
            <w:pStyle w:val="FootnoteText"/>
          </w:pPr>
          <w:r>
            <w:rPr>
              <w:rStyle w:val="FootnoteReference"/>
              <w:lang w:val="en-GB"/>
            </w:rPr>
            <w:footnoteRef/>
          </w:r>
          <w:r>
            <w:t xml:space="preserve"> </w:t>
          </w:r>
          <w:r>
            <w:tab/>
          </w:r>
          <w:r>
            <w:t xml:space="preserve">Seisukohta, et liikmesriikide väärtpaberijärelevalvete õigus kõrgeima hinna reeglist kõrvale kalduda on piiratud, esindab </w:t>
          </w:r>
          <w:proofErr w:type="spellStart"/>
          <w:r>
            <w:t>Papadopoulos</w:t>
          </w:r>
          <w:proofErr w:type="spellEnd"/>
          <w:r>
            <w:t xml:space="preserve">, T., „The </w:t>
          </w:r>
          <w:proofErr w:type="spellStart"/>
          <w:r>
            <w:t>European</w:t>
          </w:r>
          <w:proofErr w:type="spellEnd"/>
          <w:r>
            <w:t xml:space="preserve"> </w:t>
          </w:r>
          <w:proofErr w:type="spellStart"/>
          <w:r>
            <w:t>Union</w:t>
          </w:r>
          <w:proofErr w:type="spellEnd"/>
          <w:r>
            <w:t xml:space="preserve"> </w:t>
          </w:r>
          <w:proofErr w:type="spellStart"/>
          <w:r>
            <w:t>Directive</w:t>
          </w:r>
          <w:proofErr w:type="spellEnd"/>
          <w:r>
            <w:t xml:space="preserve"> on </w:t>
          </w:r>
          <w:proofErr w:type="spellStart"/>
          <w:r>
            <w:t>Takeover</w:t>
          </w:r>
          <w:proofErr w:type="spellEnd"/>
          <w:r>
            <w:t xml:space="preserve"> </w:t>
          </w:r>
          <w:proofErr w:type="spellStart"/>
          <w:r>
            <w:t>Bids</w:t>
          </w:r>
          <w:proofErr w:type="spellEnd"/>
          <w:r>
            <w:t xml:space="preserve">: </w:t>
          </w:r>
          <w:proofErr w:type="spellStart"/>
          <w:r>
            <w:t>Directive</w:t>
          </w:r>
          <w:proofErr w:type="spellEnd"/>
          <w:r>
            <w:t xml:space="preserve"> 2004/25/EC“ – </w:t>
          </w:r>
          <w:r>
            <w:rPr>
              <w:i/>
            </w:rPr>
            <w:t xml:space="preserve">International and </w:t>
          </w:r>
          <w:proofErr w:type="spellStart"/>
          <w:r>
            <w:rPr>
              <w:i/>
            </w:rPr>
            <w:t>Comparative</w:t>
          </w:r>
          <w:proofErr w:type="spellEnd"/>
          <w:r>
            <w:rPr>
              <w:i/>
            </w:rPr>
            <w:t xml:space="preserve"> </w:t>
          </w:r>
          <w:proofErr w:type="spellStart"/>
          <w:r>
            <w:rPr>
              <w:i/>
            </w:rPr>
            <w:t>Law</w:t>
          </w:r>
          <w:proofErr w:type="spellEnd"/>
          <w:r>
            <w:rPr>
              <w:i/>
            </w:rPr>
            <w:t xml:space="preserve"> </w:t>
          </w:r>
          <w:proofErr w:type="spellStart"/>
          <w:r>
            <w:rPr>
              <w:i/>
            </w:rPr>
            <w:t>Journal</w:t>
          </w:r>
          <w:proofErr w:type="spellEnd"/>
          <w:r>
            <w:t>, 6. kd, 3. nr, lk 13, lk 30 ja 31, kes väidab, et ulatuslik kaalutlusõigus ülevõtmispakkumises pakutava hinna kohandamisel oleks vastuolus direktiivi 2004/25 artikli 3 lõike 1 punktis a sätestatud üldpõhimõttega (hinna alandamine seda piisavalt põhjendamata võib olla vastuolus aktsionäride võrdväärse kohtlemise põhimõttega) ning ELTL artikliga 49 (hinna tõstmine seda piisavalt põhjendamata võib heidutada pakkumiste tegijaid).</w:t>
          </w:r>
        </w:p>
      </w:sdtContent>
    </w:sdt>
  </w:footnote>
  <w:footnote w:id="20">
    <w:sdt>
      <w:sdtPr>
        <w:alias w:val=""/>
        <w:tag w:val="ccTag145"/>
        <w:id w:val="145"/>
      </w:sdtPr>
      <w:sdtEndPr/>
      <w:sdtContent>
        <w:p w14:paraId="2E985D20" w14:textId="77777777" w:rsidR="0006797D" w:rsidRPr="007C2A1A" w:rsidRDefault="0006797D" w:rsidP="0019073C">
          <w:pPr>
            <w:pStyle w:val="FootnoteText"/>
          </w:pPr>
          <w:r>
            <w:rPr>
              <w:rStyle w:val="FootnoteReference"/>
              <w:lang w:val="en-GB"/>
            </w:rPr>
            <w:footnoteRef/>
          </w:r>
          <w:r>
            <w:t xml:space="preserve"> </w:t>
          </w:r>
          <w:r>
            <w:tab/>
          </w:r>
          <w:r>
            <w:t xml:space="preserve">Vt kohtuotsus, 15.10.2009, </w:t>
          </w:r>
          <w:proofErr w:type="spellStart"/>
          <w:r>
            <w:t>Audiolux</w:t>
          </w:r>
          <w:proofErr w:type="spellEnd"/>
          <w:r>
            <w:t xml:space="preserve"> jt, C</w:t>
          </w:r>
          <w:r>
            <w:noBreakHyphen/>
            <w:t>101/08, EU:C:2009:626, punkt 51.</w:t>
          </w:r>
        </w:p>
      </w:sdtContent>
    </w:sdt>
  </w:footnote>
  <w:footnote w:id="21">
    <w:sdt>
      <w:sdtPr>
        <w:alias w:val=""/>
        <w:tag w:val="ccTag146"/>
        <w:id w:val="146"/>
      </w:sdtPr>
      <w:sdtEndPr/>
      <w:sdtContent>
        <w:p w14:paraId="263951D8" w14:textId="77777777" w:rsidR="0006797D" w:rsidRPr="000274D2" w:rsidRDefault="0006797D" w:rsidP="00053968">
          <w:pPr>
            <w:pStyle w:val="FootnoteText"/>
          </w:pPr>
          <w:r>
            <w:rPr>
              <w:rStyle w:val="FootnoteReference"/>
              <w:lang w:val="en-GB"/>
            </w:rPr>
            <w:footnoteRef/>
          </w:r>
          <w:r>
            <w:t xml:space="preserve"> </w:t>
          </w:r>
          <w:r>
            <w:tab/>
          </w:r>
          <w:r>
            <w:t xml:space="preserve">Teiselt poolt on Euroopa Kohus sedastanud, et direktiivi 2004/25 artikli 3 lõike 1 punktis a sätestatud põhimõte, et aktsionäre tuleb kohelda võrdväärselt, ei tähenda, et siseriiklikke õigusnorme tuleb tõlgendada alati äriühingu vähemusaktsionäridele kõige soodsamalt: selle kohta vt kohtuotsus, 15.10.2009, </w:t>
          </w:r>
          <w:proofErr w:type="spellStart"/>
          <w:r>
            <w:t>Audiolux</w:t>
          </w:r>
          <w:proofErr w:type="spellEnd"/>
          <w:r>
            <w:t xml:space="preserve"> jt, C</w:t>
          </w:r>
          <w:r>
            <w:noBreakHyphen/>
            <w:t>101/08, EU:C:2009:626, punktid 47–52.</w:t>
          </w:r>
        </w:p>
      </w:sdtContent>
    </w:sdt>
  </w:footnote>
  <w:footnote w:id="22">
    <w:sdt>
      <w:sdtPr>
        <w:alias w:val=""/>
        <w:tag w:val="ccTag147"/>
        <w:id w:val="147"/>
      </w:sdtPr>
      <w:sdtEndPr/>
      <w:sdtContent>
        <w:p w14:paraId="00058E4F" w14:textId="77777777" w:rsidR="0006797D" w:rsidRPr="00207977" w:rsidRDefault="0006797D" w:rsidP="00607557">
          <w:pPr>
            <w:pStyle w:val="FootnoteText"/>
          </w:pPr>
          <w:r>
            <w:rPr>
              <w:rStyle w:val="FootnoteReference"/>
              <w:lang w:val="en-GB"/>
            </w:rPr>
            <w:footnoteRef/>
          </w:r>
          <w:r>
            <w:t xml:space="preserve"> </w:t>
          </w:r>
          <w:r>
            <w:tab/>
          </w:r>
          <w:r>
            <w:t>Vt äriühinguõiguse ülevõtmispakkumistega seotud aspektide ekspertide kõrgetasemelise rühma aruanne 10.1.2002, lk 49 ja 50.</w:t>
          </w:r>
        </w:p>
      </w:sdtContent>
    </w:sdt>
  </w:footnote>
  <w:footnote w:id="23">
    <w:sdt>
      <w:sdtPr>
        <w:alias w:val=""/>
        <w:tag w:val="ccTag148"/>
        <w:id w:val="148"/>
      </w:sdtPr>
      <w:sdtEndPr/>
      <w:sdtContent>
        <w:p w14:paraId="70312112" w14:textId="77777777" w:rsidR="0006797D" w:rsidRPr="008B549C" w:rsidRDefault="0006797D" w:rsidP="00F74744">
          <w:pPr>
            <w:pStyle w:val="FootnoteText"/>
          </w:pPr>
          <w:r>
            <w:rPr>
              <w:rStyle w:val="FootnoteReference"/>
              <w:lang w:val="en-GB"/>
            </w:rPr>
            <w:footnoteRef/>
          </w:r>
          <w:r>
            <w:t xml:space="preserve"> </w:t>
          </w:r>
          <w:r>
            <w:tab/>
          </w:r>
          <w:r>
            <w:t xml:space="preserve">Selle kohta vt kohtuotsus, 15.10.2009, </w:t>
          </w:r>
          <w:proofErr w:type="spellStart"/>
          <w:r>
            <w:t>Audiolux</w:t>
          </w:r>
          <w:proofErr w:type="spellEnd"/>
          <w:r>
            <w:t xml:space="preserve"> jt, C</w:t>
          </w:r>
          <w:r>
            <w:noBreakHyphen/>
            <w:t xml:space="preserve">101/08, EU:C:2009:626, punkt 49. </w:t>
          </w:r>
        </w:p>
      </w:sdtContent>
    </w:sdt>
  </w:footnote>
  <w:footnote w:id="24">
    <w:sdt>
      <w:sdtPr>
        <w:alias w:val=""/>
        <w:tag w:val="ccTag149"/>
        <w:id w:val="149"/>
      </w:sdtPr>
      <w:sdtEndPr/>
      <w:sdtContent>
        <w:p w14:paraId="27CEAE79" w14:textId="77777777" w:rsidR="0006797D" w:rsidRPr="00751E17" w:rsidRDefault="0006797D" w:rsidP="004D70DE">
          <w:pPr>
            <w:pStyle w:val="FootnoteText"/>
          </w:pPr>
          <w:r>
            <w:rPr>
              <w:rStyle w:val="FootnoteReference"/>
              <w:lang w:val="en-GB"/>
            </w:rPr>
            <w:footnoteRef/>
          </w:r>
          <w:r>
            <w:t xml:space="preserve"> </w:t>
          </w:r>
          <w:r>
            <w:tab/>
          </w:r>
          <w:r>
            <w:t xml:space="preserve">Vt analoogia alusel kohtuotsus, 21.12.2016, AGET </w:t>
          </w:r>
          <w:proofErr w:type="spellStart"/>
          <w:r>
            <w:t>Iraklis</w:t>
          </w:r>
          <w:proofErr w:type="spellEnd"/>
          <w:r>
            <w:t>, C</w:t>
          </w:r>
          <w:r>
            <w:noBreakHyphen/>
            <w:t>201/15, EU:C:2016:972, punktid 36 ja 37.</w:t>
          </w:r>
        </w:p>
      </w:sdtContent>
    </w:sdt>
  </w:footnote>
  <w:footnote w:id="25">
    <w:sdt>
      <w:sdtPr>
        <w:alias w:val=""/>
        <w:tag w:val="ccTag150"/>
        <w:id w:val="150"/>
      </w:sdtPr>
      <w:sdtEndPr/>
      <w:sdtContent>
        <w:p w14:paraId="3F080DD5" w14:textId="77777777" w:rsidR="0006797D" w:rsidRPr="004438EC" w:rsidRDefault="0006797D" w:rsidP="006B71FB">
          <w:pPr>
            <w:pStyle w:val="FootnoteText"/>
          </w:pPr>
          <w:r>
            <w:rPr>
              <w:rStyle w:val="FootnoteReference"/>
              <w:lang w:val="en-GB"/>
            </w:rPr>
            <w:footnoteRef/>
          </w:r>
          <w:r>
            <w:t xml:space="preserve"> </w:t>
          </w:r>
          <w:r>
            <w:tab/>
          </w:r>
          <w:r>
            <w:t xml:space="preserve">EFTA Kohtu otsus, 10.12.2010, </w:t>
          </w:r>
          <w:proofErr w:type="spellStart"/>
          <w:r>
            <w:t>Periscopus</w:t>
          </w:r>
          <w:proofErr w:type="spellEnd"/>
          <w:r>
            <w:t xml:space="preserve"> </w:t>
          </w:r>
          <w:r>
            <w:rPr>
              <w:i/>
            </w:rPr>
            <w:t>vs</w:t>
          </w:r>
          <w:r>
            <w:t xml:space="preserve">. Oslo </w:t>
          </w:r>
          <w:proofErr w:type="spellStart"/>
          <w:r>
            <w:t>Børs</w:t>
          </w:r>
          <w:proofErr w:type="spellEnd"/>
          <w:r>
            <w:t xml:space="preserve"> ja Erik Must, E-1/10, EFTA Kohtu lahendid, 2009–10, lk 200.</w:t>
          </w:r>
        </w:p>
      </w:sdtContent>
    </w:sdt>
  </w:footnote>
  <w:footnote w:id="26">
    <w:sdt>
      <w:sdtPr>
        <w:alias w:val=""/>
        <w:tag w:val="ccTag151"/>
        <w:id w:val="151"/>
      </w:sdtPr>
      <w:sdtEndPr/>
      <w:sdtContent>
        <w:p w14:paraId="33076EDC" w14:textId="77777777" w:rsidR="0006797D" w:rsidRPr="007903CE" w:rsidRDefault="0006797D" w:rsidP="00F6341B">
          <w:pPr>
            <w:pStyle w:val="FootnoteText"/>
          </w:pPr>
          <w:r>
            <w:rPr>
              <w:rStyle w:val="FootnoteReference"/>
              <w:lang w:val="en-GB"/>
            </w:rPr>
            <w:footnoteRef/>
          </w:r>
          <w:r>
            <w:t xml:space="preserve"> </w:t>
          </w:r>
          <w:r>
            <w:tab/>
          </w:r>
          <w:r>
            <w:t xml:space="preserve">Selle kohta vt EFTA Kohtu otsus, 10.12.2010, </w:t>
          </w:r>
          <w:proofErr w:type="spellStart"/>
          <w:r>
            <w:t>Periscopus</w:t>
          </w:r>
          <w:proofErr w:type="spellEnd"/>
          <w:r>
            <w:t xml:space="preserve"> </w:t>
          </w:r>
          <w:r>
            <w:rPr>
              <w:i/>
            </w:rPr>
            <w:t>vs</w:t>
          </w:r>
          <w:r>
            <w:t xml:space="preserve">. Oslo </w:t>
          </w:r>
          <w:proofErr w:type="spellStart"/>
          <w:r>
            <w:t>Børs</w:t>
          </w:r>
          <w:proofErr w:type="spellEnd"/>
          <w:r>
            <w:t xml:space="preserve"> ja Erik Must, E</w:t>
          </w:r>
          <w:r>
            <w:noBreakHyphen/>
            <w:t xml:space="preserve">1/10, EFTA Kohtu lahendid 2009–10, lk 200, punkt 47. </w:t>
          </w:r>
        </w:p>
      </w:sdtContent>
    </w:sdt>
  </w:footnote>
  <w:footnote w:id="27">
    <w:sdt>
      <w:sdtPr>
        <w:alias w:val=""/>
        <w:tag w:val="ccTag152"/>
        <w:id w:val="152"/>
      </w:sdtPr>
      <w:sdtEndPr/>
      <w:sdtContent>
        <w:p w14:paraId="3F34B687" w14:textId="77777777" w:rsidR="0006797D" w:rsidRPr="00041702" w:rsidRDefault="0006797D">
          <w:pPr>
            <w:pStyle w:val="FootnoteText"/>
          </w:pPr>
          <w:r>
            <w:rPr>
              <w:rStyle w:val="FootnoteReference"/>
              <w:lang w:val="en-GB"/>
            </w:rPr>
            <w:footnoteRef/>
          </w:r>
          <w:r>
            <w:t xml:space="preserve"> </w:t>
          </w:r>
          <w:r>
            <w:tab/>
          </w:r>
          <w:r>
            <w:t>Vt direktiivi 2004/25 põhjendus 3.</w:t>
          </w:r>
        </w:p>
      </w:sdtContent>
    </w:sdt>
  </w:footnote>
  <w:footnote w:id="28">
    <w:sdt>
      <w:sdtPr>
        <w:alias w:val=""/>
        <w:tag w:val="ccTag153"/>
        <w:id w:val="153"/>
      </w:sdtPr>
      <w:sdtEndPr/>
      <w:sdtContent>
        <w:p w14:paraId="644B3341" w14:textId="77777777" w:rsidR="0006797D" w:rsidRPr="006C4819" w:rsidRDefault="0006797D" w:rsidP="005D0797">
          <w:pPr>
            <w:pStyle w:val="FootnoteText"/>
          </w:pPr>
          <w:r>
            <w:rPr>
              <w:rStyle w:val="FootnoteReference"/>
              <w:lang w:val="en-GB"/>
            </w:rPr>
            <w:footnoteRef/>
          </w:r>
          <w:r>
            <w:t xml:space="preserve"> </w:t>
          </w:r>
          <w:r>
            <w:tab/>
          </w:r>
          <w:r>
            <w:t xml:space="preserve">Vt nt kohtuotsused, 15.3.1990, komisjon </w:t>
          </w:r>
          <w:r>
            <w:rPr>
              <w:i/>
            </w:rPr>
            <w:t>vs</w:t>
          </w:r>
          <w:r>
            <w:t>. Madalmaad, C</w:t>
          </w:r>
          <w:r>
            <w:noBreakHyphen/>
            <w:t xml:space="preserve">339/87, EU:C:1990:119, punktid 6, 22 ja 25, ning 14.1.2010, komisjon </w:t>
          </w:r>
          <w:r>
            <w:rPr>
              <w:i/>
            </w:rPr>
            <w:t>vs</w:t>
          </w:r>
          <w:r>
            <w:t>. Tšehhi Vabariik, C</w:t>
          </w:r>
          <w:r>
            <w:noBreakHyphen/>
            <w:t>343/08, EU:C:2010:14, punkt 40.</w:t>
          </w:r>
        </w:p>
      </w:sdtContent>
    </w:sdt>
  </w:footnote>
  <w:footnote w:id="29">
    <w:sdt>
      <w:sdtPr>
        <w:alias w:val=""/>
        <w:tag w:val="ccTag154"/>
        <w:id w:val="154"/>
      </w:sdtPr>
      <w:sdtEndPr/>
      <w:sdtContent>
        <w:p w14:paraId="33FA3921" w14:textId="77777777" w:rsidR="0006797D" w:rsidRPr="004541FB" w:rsidRDefault="0006797D" w:rsidP="00564118">
          <w:pPr>
            <w:pStyle w:val="FootnoteText"/>
          </w:pPr>
          <w:r>
            <w:rPr>
              <w:rStyle w:val="FootnoteReference"/>
              <w:lang w:val="en-GB"/>
            </w:rPr>
            <w:footnoteRef/>
          </w:r>
          <w:r>
            <w:t xml:space="preserve"> </w:t>
          </w:r>
          <w:r>
            <w:tab/>
          </w:r>
          <w:r>
            <w:t xml:space="preserve">Selle kohta vt kohtuotsus, 14.4.2005, Belgia </w:t>
          </w:r>
          <w:r>
            <w:rPr>
              <w:i/>
            </w:rPr>
            <w:t>vs</w:t>
          </w:r>
          <w:r>
            <w:t>. komisjon, C</w:t>
          </w:r>
          <w:r>
            <w:noBreakHyphen/>
            <w:t>110/03, EU:C:2005:223, punkt 31.</w:t>
          </w:r>
        </w:p>
      </w:sdtContent>
    </w:sdt>
  </w:footnote>
  <w:footnote w:id="30">
    <w:sdt>
      <w:sdtPr>
        <w:alias w:val=""/>
        <w:tag w:val="ccTag155"/>
        <w:id w:val="155"/>
      </w:sdtPr>
      <w:sdtEndPr/>
      <w:sdtContent>
        <w:p w14:paraId="216E6BC6" w14:textId="77777777" w:rsidR="0006797D" w:rsidRPr="006738EC" w:rsidRDefault="0006797D" w:rsidP="00564118">
          <w:pPr>
            <w:pStyle w:val="FootnoteText"/>
          </w:pPr>
          <w:r>
            <w:rPr>
              <w:rStyle w:val="FootnoteReference"/>
              <w:lang w:val="en-GB"/>
            </w:rPr>
            <w:footnoteRef/>
          </w:r>
          <w:r>
            <w:t xml:space="preserve"> </w:t>
          </w:r>
          <w:r>
            <w:tab/>
          </w:r>
          <w:r>
            <w:t xml:space="preserve">Selle kohta vt kohtuotsus, 18.7.2013, </w:t>
          </w:r>
          <w:proofErr w:type="spellStart"/>
          <w:r>
            <w:t>Schindler</w:t>
          </w:r>
          <w:proofErr w:type="spellEnd"/>
          <w:r>
            <w:t xml:space="preserve"> Holding jt </w:t>
          </w:r>
          <w:r>
            <w:rPr>
              <w:i/>
            </w:rPr>
            <w:t>vs</w:t>
          </w:r>
          <w:r>
            <w:t>. komisjon, C</w:t>
          </w:r>
          <w:r>
            <w:noBreakHyphen/>
            <w:t>501/11 P, EU:C:2013:522, punkt 58 ja seal viidatud kohtupraktika.</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
      <w:tag w:val="ccTag121"/>
      <w:id w:val="121"/>
    </w:sdtPr>
    <w:sdtEndPr/>
    <w:sdtContent>
      <w:p w14:paraId="537B93DA" w14:textId="77777777" w:rsidR="0006797D" w:rsidRDefault="0006797D">
        <w:pPr>
          <w:pStyle w:val="Header"/>
        </w:pPr>
        <w:r>
          <w:t>KOHTUJURIST WAHLI ETTEPANEK– KOHTUASI C</w:t>
        </w:r>
        <w:r>
          <w:noBreakHyphen/>
          <w:t>206/16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
      <w:tag w:val="ccTag122"/>
      <w:id w:val="122"/>
    </w:sdtPr>
    <w:sdtEndPr/>
    <w:sdtContent>
      <w:p w14:paraId="30FFA5A6" w14:textId="77777777" w:rsidR="0006797D" w:rsidRDefault="0006797D">
        <w:pPr>
          <w:pStyle w:val="Header"/>
        </w:pPr>
        <w:r>
          <w:t>MARCO TRONCHETTI PROVERA JT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CompCC_6cb323a7-538f-4427-9561-522a416c95df"/>
      <w:id w:val="-1037351831"/>
    </w:sdtPr>
    <w:sdtEndPr/>
    <w:sdtContent>
      <w:p w14:paraId="64961273" w14:textId="77777777" w:rsidR="0006797D" w:rsidRDefault="0006797D">
        <w:pPr>
          <w:pStyle w:val="BottomAnchorRightImage"/>
        </w:pPr>
        <w:r>
          <w:rPr>
            <w:noProof/>
            <w:lang w:bidi="ar-SA"/>
          </w:rPr>
          <w:drawing>
            <wp:inline distT="0" distB="0" distL="0" distR="0" wp14:anchorId="0F80FC8B" wp14:editId="62651518">
              <wp:extent cx="6848056" cy="1886636"/>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6848056" cy="1886636"/>
                      </a:xfrm>
                      <a:prstGeom prst="rect">
                        <a:avLst/>
                      </a:prstGeom>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37201D"/>
    <w:multiLevelType w:val="multilevel"/>
    <w:tmpl w:val="FFFFFFFF"/>
    <w:styleLink w:val="14Tiretlong5List"/>
    <w:lvl w:ilvl="0">
      <w:start w:val="1"/>
      <w:numFmt w:val="bullet"/>
      <w:lvlText w:val="–"/>
      <w:lvlJc w:val="left"/>
      <w:pPr>
        <w:tabs>
          <w:tab w:val="num" w:pos="680"/>
        </w:tabs>
        <w:ind w:left="680" w:hanging="680"/>
      </w:pPr>
      <w:rPr>
        <w:rFonts w:ascii="Times New Roman" w:hAnsi="Times New Roman" w:cs="Times New Roman"/>
        <w:color w:val="000000"/>
      </w:rPr>
    </w:lvl>
    <w:lvl w:ilvl="1">
      <w:start w:val="1"/>
      <w:numFmt w:val="bullet"/>
      <w:lvlText w:val="–"/>
      <w:lvlJc w:val="left"/>
      <w:pPr>
        <w:tabs>
          <w:tab w:val="num" w:pos="1361"/>
        </w:tabs>
        <w:ind w:left="1361" w:hanging="681"/>
      </w:pPr>
      <w:rPr>
        <w:rFonts w:ascii="Times New Roman" w:hAnsi="Times New Roman" w:cs="Times New Roman"/>
        <w:b w:val="0"/>
        <w:bCs w:val="0"/>
        <w:i w:val="0"/>
        <w:iCs w:val="0"/>
        <w:color w:val="000000"/>
      </w:rPr>
    </w:lvl>
    <w:lvl w:ilvl="2">
      <w:start w:val="1"/>
      <w:numFmt w:val="bullet"/>
      <w:lvlText w:val="–"/>
      <w:lvlJc w:val="left"/>
      <w:pPr>
        <w:tabs>
          <w:tab w:val="num" w:pos="2041"/>
        </w:tabs>
        <w:ind w:left="2041" w:hanging="680"/>
      </w:pPr>
      <w:rPr>
        <w:rFonts w:ascii="Times New Roman" w:hAnsi="Times New Roman" w:cs="Times New Roman"/>
        <w:color w:val="000000"/>
      </w:rPr>
    </w:lvl>
    <w:lvl w:ilvl="3">
      <w:start w:val="1"/>
      <w:numFmt w:val="bullet"/>
      <w:lvlText w:val="–"/>
      <w:lvlJc w:val="left"/>
      <w:pPr>
        <w:tabs>
          <w:tab w:val="num" w:pos="2722"/>
        </w:tabs>
        <w:ind w:left="2722" w:hanging="681"/>
      </w:pPr>
      <w:rPr>
        <w:rFonts w:ascii="Times New Roman" w:hAnsi="Times New Roman" w:cs="Times New Roman"/>
        <w:color w:val="000000"/>
      </w:rPr>
    </w:lvl>
    <w:lvl w:ilvl="4">
      <w:start w:val="9"/>
      <w:numFmt w:val="bullet"/>
      <w:pStyle w:val="14Tiretlong5"/>
      <w:lvlText w:val="–"/>
      <w:lvlJc w:val="left"/>
      <w:pPr>
        <w:tabs>
          <w:tab w:val="num" w:pos="3402"/>
        </w:tabs>
        <w:ind w:left="3402" w:hanging="680"/>
      </w:pPr>
      <w:rPr>
        <w:rFonts w:ascii="Times New Roman" w:hAnsi="Times New Roman" w:cs="Times New Roman"/>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1" w15:restartNumberingAfterBreak="0">
    <w:nsid w:val="3357534A"/>
    <w:multiLevelType w:val="multilevel"/>
    <w:tmpl w:val="FFFFFFFF"/>
    <w:styleLink w:val="GendocOriginal04Titre1List"/>
    <w:lvl w:ilvl="0">
      <w:start w:val="1"/>
      <w:numFmt w:val="none"/>
      <w:pStyle w:val="GendocOriginal04Titre1"/>
      <w:suff w:val="nothing"/>
      <w:lvlText w:val=""/>
      <w:lvlJc w:val="left"/>
      <w:pPr>
        <w:tabs>
          <w:tab w:val="num" w:pos="0"/>
        </w:tabs>
        <w:ind w:left="0" w:firstLine="0"/>
      </w:pPr>
      <w:rPr>
        <w:color w:val="000000"/>
      </w:rPr>
    </w:lvl>
    <w:lvl w:ilvl="1">
      <w:start w:val="1"/>
      <w:numFmt w:val="none"/>
      <w:pStyle w:val="GendocOriginal05Titre2"/>
      <w:suff w:val="nothing"/>
      <w:lvlText w:val="%2"/>
      <w:lvlJc w:val="left"/>
      <w:pPr>
        <w:tabs>
          <w:tab w:val="num" w:pos="0"/>
        </w:tabs>
        <w:ind w:left="0" w:firstLine="0"/>
      </w:pPr>
      <w:rPr>
        <w:color w:val="000000"/>
      </w:rPr>
    </w:lvl>
    <w:lvl w:ilvl="2">
      <w:start w:val="1"/>
      <w:numFmt w:val="none"/>
      <w:pStyle w:val="GendocOriginal06Titre3"/>
      <w:suff w:val="nothing"/>
      <w:lvlText w:val="%3"/>
      <w:lvlJc w:val="left"/>
      <w:pPr>
        <w:tabs>
          <w:tab w:val="num" w:pos="0"/>
        </w:tabs>
        <w:ind w:left="0" w:firstLine="0"/>
      </w:pPr>
      <w:rPr>
        <w:color w:val="000000"/>
      </w:rPr>
    </w:lvl>
    <w:lvl w:ilvl="3">
      <w:start w:val="1"/>
      <w:numFmt w:val="none"/>
      <w:pStyle w:val="GendocOriginal07Titre4"/>
      <w:lvlText w:val="–"/>
      <w:lvlJc w:val="left"/>
      <w:pPr>
        <w:tabs>
          <w:tab w:val="num" w:pos="0"/>
        </w:tabs>
        <w:ind w:left="0" w:firstLine="0"/>
      </w:pPr>
      <w:rPr>
        <w:color w:val="000000"/>
      </w:rPr>
    </w:lvl>
    <w:lvl w:ilvl="4">
      <w:start w:val="1"/>
      <w:numFmt w:val="none"/>
      <w:lvlText w:val=""/>
      <w:lvlJc w:val="left"/>
      <w:pPr>
        <w:tabs>
          <w:tab w:val="num" w:pos="0"/>
        </w:tabs>
        <w:ind w:left="0" w:firstLine="0"/>
      </w:pPr>
      <w:rPr>
        <w:color w:val="000000"/>
      </w:rPr>
    </w:lvl>
    <w:lvl w:ilvl="5">
      <w:start w:val="1"/>
      <w:numFmt w:val="none"/>
      <w:lvlText w:val=""/>
      <w:lvlJc w:val="left"/>
      <w:pPr>
        <w:tabs>
          <w:tab w:val="num" w:pos="0"/>
        </w:tabs>
        <w:ind w:left="0" w:firstLine="0"/>
      </w:pPr>
      <w:rPr>
        <w:color w:val="000000"/>
      </w:rPr>
    </w:lvl>
    <w:lvl w:ilvl="6">
      <w:start w:val="1"/>
      <w:numFmt w:val="none"/>
      <w:lvlText w:val="%7"/>
      <w:lvlJc w:val="left"/>
      <w:pPr>
        <w:tabs>
          <w:tab w:val="num" w:pos="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left"/>
      <w:pPr>
        <w:tabs>
          <w:tab w:val="num" w:pos="0"/>
        </w:tabs>
        <w:ind w:left="0" w:firstLine="0"/>
      </w:pPr>
      <w:rPr>
        <w:color w:val="000000"/>
      </w:rPr>
    </w:lvl>
  </w:abstractNum>
  <w:abstractNum w:abstractNumId="2" w15:restartNumberingAfterBreak="0">
    <w:nsid w:val="39953719"/>
    <w:multiLevelType w:val="multilevel"/>
    <w:tmpl w:val="FFFFFFFF"/>
    <w:styleLink w:val="GendocOriginal01PointAltNList"/>
    <w:lvl w:ilvl="0">
      <w:start w:val="1"/>
      <w:numFmt w:val="decimal"/>
      <w:pStyle w:val="GendocOriginal01PointAltN"/>
      <w:lvlText w:val="%1."/>
      <w:lvlJc w:val="left"/>
      <w:pPr>
        <w:tabs>
          <w:tab w:val="num" w:pos="680"/>
        </w:tabs>
        <w:ind w:left="0" w:firstLine="0"/>
      </w:pPr>
      <w:rPr>
        <w:rFonts w:ascii="Times New Roman" w:hAnsi="Times New Roman" w:cs="Times New Roman"/>
        <w:b w:val="0"/>
        <w:bCs w:val="0"/>
        <w:i w:val="0"/>
        <w:iCs w:val="0"/>
        <w:color w:val="000000"/>
        <w:sz w:val="24"/>
        <w:szCs w:val="23"/>
      </w:rPr>
    </w:lvl>
    <w:lvl w:ilvl="1">
      <w:start w:val="1"/>
      <w:numFmt w:val="none"/>
      <w:lvlText w:val="%2"/>
      <w:lvlJc w:val="left"/>
      <w:pPr>
        <w:tabs>
          <w:tab w:val="num" w:pos="680"/>
        </w:tabs>
        <w:ind w:left="0" w:firstLine="0"/>
      </w:pPr>
      <w:rPr>
        <w:color w:val="000000"/>
      </w:rPr>
    </w:lvl>
    <w:lvl w:ilvl="2">
      <w:start w:val="1"/>
      <w:numFmt w:val="none"/>
      <w:lvlText w:val=""/>
      <w:lvlJc w:val="right"/>
      <w:pPr>
        <w:tabs>
          <w:tab w:val="num" w:pos="680"/>
        </w:tabs>
        <w:ind w:left="0" w:firstLine="0"/>
      </w:pPr>
      <w:rPr>
        <w:color w:val="000000"/>
      </w:rPr>
    </w:lvl>
    <w:lvl w:ilvl="3">
      <w:start w:val="1"/>
      <w:numFmt w:val="none"/>
      <w:lvlText w:val="%4"/>
      <w:lvlJc w:val="left"/>
      <w:pPr>
        <w:tabs>
          <w:tab w:val="num" w:pos="680"/>
        </w:tabs>
        <w:ind w:left="0" w:firstLine="0"/>
      </w:pPr>
      <w:rPr>
        <w:color w:val="000000"/>
      </w:rPr>
    </w:lvl>
    <w:lvl w:ilvl="4">
      <w:start w:val="1"/>
      <w:numFmt w:val="none"/>
      <w:lvlText w:val="%5"/>
      <w:lvlJc w:val="left"/>
      <w:pPr>
        <w:tabs>
          <w:tab w:val="num" w:pos="680"/>
        </w:tabs>
        <w:ind w:left="0" w:firstLine="0"/>
      </w:pPr>
      <w:rPr>
        <w:color w:val="000000"/>
      </w:rPr>
    </w:lvl>
    <w:lvl w:ilvl="5">
      <w:start w:val="1"/>
      <w:numFmt w:val="none"/>
      <w:lvlText w:val="%6"/>
      <w:lvlJc w:val="right"/>
      <w:pPr>
        <w:tabs>
          <w:tab w:val="num" w:pos="680"/>
        </w:tabs>
        <w:ind w:left="0" w:firstLine="0"/>
      </w:pPr>
      <w:rPr>
        <w:color w:val="000000"/>
      </w:rPr>
    </w:lvl>
    <w:lvl w:ilvl="6">
      <w:start w:val="1"/>
      <w:numFmt w:val="none"/>
      <w:lvlText w:val="%7"/>
      <w:lvlJc w:val="left"/>
      <w:pPr>
        <w:tabs>
          <w:tab w:val="num" w:pos="68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right"/>
      <w:pPr>
        <w:tabs>
          <w:tab w:val="num" w:pos="0"/>
        </w:tabs>
        <w:ind w:left="0" w:firstLine="0"/>
      </w:pPr>
      <w:rPr>
        <w:color w:val="000000"/>
      </w:rPr>
    </w:lvl>
  </w:abstractNum>
  <w:abstractNum w:abstractNumId="3" w15:restartNumberingAfterBreak="0">
    <w:nsid w:val="41A2271D"/>
    <w:multiLevelType w:val="multilevel"/>
    <w:tmpl w:val="FFFFFFFF"/>
    <w:styleLink w:val="21Titrenumerote1List"/>
    <w:lvl w:ilvl="0">
      <w:start w:val="1"/>
      <w:numFmt w:val="upperRoman"/>
      <w:pStyle w:val="21Titrenumerote1"/>
      <w:lvlText w:val="%1."/>
      <w:lvlJc w:val="left"/>
      <w:pPr>
        <w:tabs>
          <w:tab w:val="num" w:pos="0"/>
        </w:tabs>
        <w:ind w:left="0" w:firstLine="0"/>
      </w:pPr>
      <w:rPr>
        <w:b/>
        <w:bCs/>
        <w:i w:val="0"/>
        <w:iCs w:val="0"/>
        <w:color w:val="000000"/>
        <w:sz w:val="24"/>
        <w:szCs w:val="23"/>
      </w:rPr>
    </w:lvl>
    <w:lvl w:ilvl="1">
      <w:start w:val="1"/>
      <w:numFmt w:val="upperLetter"/>
      <w:pStyle w:val="22Titrenumerote2"/>
      <w:lvlText w:val="%2."/>
      <w:lvlJc w:val="left"/>
      <w:pPr>
        <w:tabs>
          <w:tab w:val="num" w:pos="0"/>
        </w:tabs>
        <w:ind w:left="0" w:firstLine="0"/>
      </w:pPr>
      <w:rPr>
        <w:b/>
        <w:bCs/>
        <w:i w:val="0"/>
        <w:iCs w:val="0"/>
        <w:color w:val="000000"/>
      </w:rPr>
    </w:lvl>
    <w:lvl w:ilvl="2">
      <w:start w:val="1"/>
      <w:numFmt w:val="decimal"/>
      <w:pStyle w:val="23Titrenumerote3"/>
      <w:lvlText w:val="%3."/>
      <w:lvlJc w:val="left"/>
      <w:pPr>
        <w:tabs>
          <w:tab w:val="num" w:pos="0"/>
        </w:tabs>
        <w:ind w:left="0" w:firstLine="0"/>
      </w:pPr>
      <w:rPr>
        <w:b/>
        <w:bCs/>
        <w:i/>
        <w:iCs/>
        <w:color w:val="000000"/>
      </w:rPr>
    </w:lvl>
    <w:lvl w:ilvl="3">
      <w:start w:val="1"/>
      <w:numFmt w:val="lowerLetter"/>
      <w:pStyle w:val="24Titrenumerote4"/>
      <w:lvlText w:val="%4)"/>
      <w:lvlJc w:val="left"/>
      <w:pPr>
        <w:tabs>
          <w:tab w:val="num" w:pos="0"/>
        </w:tabs>
        <w:ind w:left="0" w:firstLine="0"/>
      </w:pPr>
      <w:rPr>
        <w:b/>
        <w:bCs/>
        <w:i/>
        <w:iCs/>
        <w:color w:val="000000"/>
      </w:rPr>
    </w:lvl>
    <w:lvl w:ilvl="4">
      <w:start w:val="1"/>
      <w:numFmt w:val="decimal"/>
      <w:pStyle w:val="25Titrenumerote5"/>
      <w:lvlText w:val="%5)"/>
      <w:lvlJc w:val="left"/>
      <w:pPr>
        <w:tabs>
          <w:tab w:val="num" w:pos="0"/>
        </w:tabs>
        <w:ind w:left="0" w:firstLine="0"/>
      </w:pPr>
      <w:rPr>
        <w:b w:val="0"/>
        <w:bCs w:val="0"/>
        <w:i/>
        <w:iCs/>
        <w:color w:val="000000"/>
      </w:rPr>
    </w:lvl>
    <w:lvl w:ilvl="5">
      <w:start w:val="1"/>
      <w:numFmt w:val="lowerRoman"/>
      <w:pStyle w:val="26Titrenumerote6"/>
      <w:lvlText w:val="%6)"/>
      <w:lvlJc w:val="left"/>
      <w:pPr>
        <w:tabs>
          <w:tab w:val="num" w:pos="0"/>
        </w:tabs>
        <w:ind w:left="0" w:firstLine="0"/>
      </w:pPr>
      <w:rPr>
        <w:b w:val="0"/>
        <w:bCs w:val="0"/>
        <w:i/>
        <w:iCs/>
        <w:color w:val="000000"/>
      </w:rPr>
    </w:lvl>
    <w:lvl w:ilvl="6">
      <w:start w:val="1"/>
      <w:numFmt w:val="none"/>
      <w:pStyle w:val="27Titrenumerote7"/>
      <w:lvlText w:val="–"/>
      <w:lvlJc w:val="left"/>
      <w:pPr>
        <w:tabs>
          <w:tab w:val="num" w:pos="0"/>
        </w:tabs>
        <w:ind w:left="0" w:firstLine="0"/>
      </w:pPr>
      <w:rPr>
        <w:b w:val="0"/>
        <w:bCs w:val="0"/>
        <w:i/>
        <w:iCs/>
        <w:color w:val="000000"/>
      </w:rPr>
    </w:lvl>
    <w:lvl w:ilvl="7">
      <w:start w:val="1"/>
      <w:numFmt w:val="bullet"/>
      <w:lvlText w:val=""/>
      <w:lvlJc w:val="left"/>
      <w:pPr>
        <w:tabs>
          <w:tab w:val="num" w:pos="2182"/>
        </w:tabs>
        <w:ind w:left="0" w:firstLine="0"/>
      </w:pPr>
      <w:rPr>
        <w:rFonts w:ascii="Wingdings" w:hAnsi="Wingdings" w:cs="Wingdings"/>
        <w:color w:val="000000"/>
      </w:rPr>
    </w:lvl>
    <w:lvl w:ilvl="8">
      <w:start w:val="1"/>
      <w:numFmt w:val="bullet"/>
      <w:lvlText w:val=""/>
      <w:lvlJc w:val="left"/>
      <w:pPr>
        <w:tabs>
          <w:tab w:val="num" w:pos="2542"/>
        </w:tabs>
        <w:ind w:left="0" w:firstLine="0"/>
      </w:pPr>
      <w:rPr>
        <w:rFonts w:ascii="Wingdings" w:hAnsi="Wingdings" w:cs="Wingdings"/>
        <w:color w:val="000000"/>
      </w:rPr>
    </w:lvl>
  </w:abstractNum>
  <w:abstractNum w:abstractNumId="4" w15:restartNumberingAfterBreak="0">
    <w:nsid w:val="4A8B7080"/>
    <w:multiLevelType w:val="multilevel"/>
    <w:tmpl w:val="FFFFFFFF"/>
    <w:styleLink w:val="03TiretlongList"/>
    <w:lvl w:ilvl="0">
      <w:start w:val="1"/>
      <w:numFmt w:val="bullet"/>
      <w:pStyle w:val="03Tiretlong"/>
      <w:lvlText w:val="–"/>
      <w:lvlJc w:val="left"/>
      <w:pPr>
        <w:tabs>
          <w:tab w:val="num" w:pos="284"/>
        </w:tabs>
        <w:ind w:left="284" w:hanging="284"/>
      </w:pPr>
      <w:rPr>
        <w:rFonts w:ascii="Times New Roman" w:hAnsi="Times New Roman" w:cs="Times New Roman"/>
        <w:color w:val="000000"/>
      </w:rPr>
    </w:lvl>
    <w:lvl w:ilvl="1">
      <w:start w:val="1"/>
      <w:numFmt w:val="bullet"/>
      <w:pStyle w:val="12Marge1avectiretlong"/>
      <w:lvlText w:val="–"/>
      <w:lvlJc w:val="left"/>
      <w:pPr>
        <w:tabs>
          <w:tab w:val="num" w:pos="1134"/>
        </w:tabs>
        <w:ind w:left="1134" w:hanging="567"/>
      </w:pPr>
      <w:rPr>
        <w:rFonts w:ascii="Times New Roman" w:hAnsi="Times New Roman" w:cs="Times New Roman"/>
        <w:b w:val="0"/>
        <w:bCs w:val="0"/>
        <w:i w:val="0"/>
        <w:iCs w:val="0"/>
        <w:color w:val="000000"/>
      </w:rPr>
    </w:lvl>
    <w:lvl w:ilvl="2">
      <w:start w:val="1"/>
      <w:numFmt w:val="bullet"/>
      <w:pStyle w:val="15Marge2avectiretlong"/>
      <w:lvlText w:val="–"/>
      <w:lvlJc w:val="left"/>
      <w:pPr>
        <w:tabs>
          <w:tab w:val="num" w:pos="1701"/>
        </w:tabs>
        <w:ind w:left="1701" w:hanging="567"/>
      </w:pPr>
      <w:rPr>
        <w:rFonts w:ascii="Times New Roman" w:hAnsi="Times New Roman" w:cs="Times New Roman"/>
        <w:color w:val="000000"/>
      </w:rPr>
    </w:lvl>
    <w:lvl w:ilvl="3">
      <w:start w:val="1"/>
      <w:numFmt w:val="bullet"/>
      <w:pStyle w:val="18Marge3avectiretlong"/>
      <w:lvlText w:val="–"/>
      <w:lvlJc w:val="left"/>
      <w:pPr>
        <w:tabs>
          <w:tab w:val="num" w:pos="2268"/>
        </w:tabs>
        <w:ind w:left="2268" w:hanging="567"/>
      </w:pPr>
      <w:rPr>
        <w:rFonts w:ascii="Times New Roman" w:hAnsi="Times New Roman" w:cs="Times New Roman"/>
        <w:color w:val="000000"/>
      </w:rPr>
    </w:lvl>
    <w:lvl w:ilvl="4">
      <w:start w:val="9"/>
      <w:numFmt w:val="none"/>
      <w:suff w:val="nothing"/>
      <w:lvlText w:val=""/>
      <w:lvlJc w:val="left"/>
      <w:pPr>
        <w:tabs>
          <w:tab w:val="num" w:pos="0"/>
        </w:tabs>
        <w:ind w:left="-32767" w:firstLine="0"/>
      </w:pPr>
      <w:rPr>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5" w15:restartNumberingAfterBreak="0">
    <w:nsid w:val="52571024"/>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A71CAA"/>
    <w:multiLevelType w:val="multilevel"/>
    <w:tmpl w:val="FFFFFFFF"/>
    <w:styleLink w:val="GendocOriginalNoList"/>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6BB71B0"/>
    <w:multiLevelType w:val="multilevel"/>
    <w:tmpl w:val="FFFFFFFF"/>
    <w:styleLink w:val="GendocOriginal21Titrenumerote1List"/>
    <w:lvl w:ilvl="0">
      <w:start w:val="1"/>
      <w:numFmt w:val="upperRoman"/>
      <w:pStyle w:val="GendocOriginal21Titrenumerote1"/>
      <w:lvlText w:val="%1."/>
      <w:lvlJc w:val="left"/>
      <w:pPr>
        <w:tabs>
          <w:tab w:val="num" w:pos="0"/>
        </w:tabs>
        <w:ind w:left="0" w:firstLine="0"/>
      </w:pPr>
      <w:rPr>
        <w:b/>
        <w:bCs/>
        <w:i w:val="0"/>
        <w:iCs w:val="0"/>
        <w:color w:val="000000"/>
        <w:sz w:val="24"/>
        <w:szCs w:val="23"/>
      </w:rPr>
    </w:lvl>
    <w:lvl w:ilvl="1">
      <w:start w:val="1"/>
      <w:numFmt w:val="upperLetter"/>
      <w:pStyle w:val="GendocOriginal22Titrenumerote2"/>
      <w:lvlText w:val="%2."/>
      <w:lvlJc w:val="left"/>
      <w:pPr>
        <w:tabs>
          <w:tab w:val="num" w:pos="0"/>
        </w:tabs>
        <w:ind w:left="0" w:firstLine="0"/>
      </w:pPr>
      <w:rPr>
        <w:b/>
        <w:bCs/>
        <w:i w:val="0"/>
        <w:iCs w:val="0"/>
        <w:color w:val="000000"/>
      </w:rPr>
    </w:lvl>
    <w:lvl w:ilvl="2">
      <w:start w:val="1"/>
      <w:numFmt w:val="decimal"/>
      <w:pStyle w:val="GendocOriginal23Titrenumerote3"/>
      <w:lvlText w:val="%3."/>
      <w:lvlJc w:val="left"/>
      <w:pPr>
        <w:tabs>
          <w:tab w:val="num" w:pos="0"/>
        </w:tabs>
        <w:ind w:left="0" w:firstLine="0"/>
      </w:pPr>
      <w:rPr>
        <w:b/>
        <w:bCs/>
        <w:i/>
        <w:iCs/>
        <w:color w:val="000000"/>
      </w:rPr>
    </w:lvl>
    <w:lvl w:ilvl="3">
      <w:start w:val="1"/>
      <w:numFmt w:val="lowerLetter"/>
      <w:pStyle w:val="GendocOriginal24Titrenumerote4"/>
      <w:lvlText w:val="%4)"/>
      <w:lvlJc w:val="left"/>
      <w:pPr>
        <w:tabs>
          <w:tab w:val="num" w:pos="0"/>
        </w:tabs>
        <w:ind w:left="0" w:firstLine="0"/>
      </w:pPr>
      <w:rPr>
        <w:b/>
        <w:bCs/>
        <w:i/>
        <w:iCs/>
        <w:color w:val="000000"/>
      </w:rPr>
    </w:lvl>
    <w:lvl w:ilvl="4">
      <w:start w:val="1"/>
      <w:numFmt w:val="decimal"/>
      <w:pStyle w:val="GendocOriginal25Titrenumerote5"/>
      <w:lvlText w:val="%5)"/>
      <w:lvlJc w:val="left"/>
      <w:pPr>
        <w:tabs>
          <w:tab w:val="num" w:pos="0"/>
        </w:tabs>
        <w:ind w:left="0" w:firstLine="0"/>
      </w:pPr>
      <w:rPr>
        <w:b w:val="0"/>
        <w:bCs w:val="0"/>
        <w:i/>
        <w:iCs/>
        <w:color w:val="000000"/>
      </w:rPr>
    </w:lvl>
    <w:lvl w:ilvl="5">
      <w:start w:val="1"/>
      <w:numFmt w:val="lowerRoman"/>
      <w:pStyle w:val="GendocOriginal26Titrenumerote6"/>
      <w:lvlText w:val="%6)"/>
      <w:lvlJc w:val="left"/>
      <w:pPr>
        <w:tabs>
          <w:tab w:val="num" w:pos="0"/>
        </w:tabs>
        <w:ind w:left="0" w:firstLine="0"/>
      </w:pPr>
      <w:rPr>
        <w:b w:val="0"/>
        <w:bCs w:val="0"/>
        <w:i/>
        <w:iCs/>
        <w:color w:val="000000"/>
      </w:rPr>
    </w:lvl>
    <w:lvl w:ilvl="6">
      <w:start w:val="1"/>
      <w:numFmt w:val="none"/>
      <w:pStyle w:val="GendocOriginal27Titrenumerote7"/>
      <w:lvlText w:val="–"/>
      <w:lvlJc w:val="left"/>
      <w:pPr>
        <w:tabs>
          <w:tab w:val="num" w:pos="0"/>
        </w:tabs>
        <w:ind w:left="0" w:firstLine="0"/>
      </w:pPr>
      <w:rPr>
        <w:b w:val="0"/>
        <w:bCs w:val="0"/>
        <w:i/>
        <w:iCs/>
        <w:color w:val="000000"/>
      </w:rPr>
    </w:lvl>
    <w:lvl w:ilvl="7">
      <w:start w:val="1"/>
      <w:numFmt w:val="bullet"/>
      <w:lvlText w:val=""/>
      <w:lvlJc w:val="left"/>
      <w:pPr>
        <w:tabs>
          <w:tab w:val="num" w:pos="2182"/>
        </w:tabs>
        <w:ind w:left="0" w:firstLine="0"/>
      </w:pPr>
      <w:rPr>
        <w:rFonts w:ascii="Wingdings" w:hAnsi="Wingdings" w:cs="Wingdings"/>
        <w:color w:val="000000"/>
      </w:rPr>
    </w:lvl>
    <w:lvl w:ilvl="8">
      <w:start w:val="1"/>
      <w:numFmt w:val="bullet"/>
      <w:lvlText w:val=""/>
      <w:lvlJc w:val="left"/>
      <w:pPr>
        <w:tabs>
          <w:tab w:val="num" w:pos="2542"/>
        </w:tabs>
        <w:ind w:left="0" w:firstLine="0"/>
      </w:pPr>
      <w:rPr>
        <w:rFonts w:ascii="Wingdings" w:hAnsi="Wingdings" w:cs="Wingdings"/>
        <w:color w:val="000000"/>
      </w:rPr>
    </w:lvl>
  </w:abstractNum>
  <w:abstractNum w:abstractNumId="8" w15:restartNumberingAfterBreak="0">
    <w:nsid w:val="721904EE"/>
    <w:multiLevelType w:val="multilevel"/>
    <w:tmpl w:val="FFFFFFFF"/>
    <w:styleLink w:val="01PointAltNList"/>
    <w:lvl w:ilvl="0">
      <w:start w:val="1"/>
      <w:numFmt w:val="decimal"/>
      <w:pStyle w:val="01PointAltN"/>
      <w:lvlText w:val="%1."/>
      <w:lvlJc w:val="left"/>
      <w:pPr>
        <w:tabs>
          <w:tab w:val="num" w:pos="680"/>
        </w:tabs>
        <w:ind w:left="0" w:firstLine="0"/>
      </w:pPr>
      <w:rPr>
        <w:rFonts w:ascii="Times New Roman" w:hAnsi="Times New Roman" w:cs="Times New Roman"/>
        <w:b w:val="0"/>
        <w:bCs w:val="0"/>
        <w:i w:val="0"/>
        <w:iCs w:val="0"/>
        <w:color w:val="000000"/>
        <w:sz w:val="24"/>
        <w:szCs w:val="23"/>
      </w:rPr>
    </w:lvl>
    <w:lvl w:ilvl="1">
      <w:start w:val="1"/>
      <w:numFmt w:val="none"/>
      <w:lvlText w:val="%2"/>
      <w:lvlJc w:val="left"/>
      <w:pPr>
        <w:tabs>
          <w:tab w:val="num" w:pos="680"/>
        </w:tabs>
        <w:ind w:left="0" w:firstLine="0"/>
      </w:pPr>
      <w:rPr>
        <w:color w:val="000000"/>
      </w:rPr>
    </w:lvl>
    <w:lvl w:ilvl="2">
      <w:start w:val="1"/>
      <w:numFmt w:val="none"/>
      <w:lvlText w:val=""/>
      <w:lvlJc w:val="right"/>
      <w:pPr>
        <w:tabs>
          <w:tab w:val="num" w:pos="680"/>
        </w:tabs>
        <w:ind w:left="0" w:firstLine="0"/>
      </w:pPr>
      <w:rPr>
        <w:color w:val="000000"/>
      </w:rPr>
    </w:lvl>
    <w:lvl w:ilvl="3">
      <w:start w:val="1"/>
      <w:numFmt w:val="none"/>
      <w:lvlText w:val="%4"/>
      <w:lvlJc w:val="left"/>
      <w:pPr>
        <w:tabs>
          <w:tab w:val="num" w:pos="680"/>
        </w:tabs>
        <w:ind w:left="0" w:firstLine="0"/>
      </w:pPr>
      <w:rPr>
        <w:color w:val="000000"/>
      </w:rPr>
    </w:lvl>
    <w:lvl w:ilvl="4">
      <w:start w:val="1"/>
      <w:numFmt w:val="none"/>
      <w:lvlText w:val="%5"/>
      <w:lvlJc w:val="left"/>
      <w:pPr>
        <w:tabs>
          <w:tab w:val="num" w:pos="680"/>
        </w:tabs>
        <w:ind w:left="0" w:firstLine="0"/>
      </w:pPr>
      <w:rPr>
        <w:color w:val="000000"/>
      </w:rPr>
    </w:lvl>
    <w:lvl w:ilvl="5">
      <w:start w:val="1"/>
      <w:numFmt w:val="none"/>
      <w:lvlText w:val="%6"/>
      <w:lvlJc w:val="right"/>
      <w:pPr>
        <w:tabs>
          <w:tab w:val="num" w:pos="680"/>
        </w:tabs>
        <w:ind w:left="0" w:firstLine="0"/>
      </w:pPr>
      <w:rPr>
        <w:color w:val="000000"/>
      </w:rPr>
    </w:lvl>
    <w:lvl w:ilvl="6">
      <w:start w:val="1"/>
      <w:numFmt w:val="none"/>
      <w:lvlText w:val="%7"/>
      <w:lvlJc w:val="left"/>
      <w:pPr>
        <w:tabs>
          <w:tab w:val="num" w:pos="68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right"/>
      <w:pPr>
        <w:tabs>
          <w:tab w:val="num" w:pos="0"/>
        </w:tabs>
        <w:ind w:left="0" w:firstLine="0"/>
      </w:pPr>
      <w:rPr>
        <w:color w:val="000000"/>
      </w:rPr>
    </w:lvl>
  </w:abstractNum>
  <w:abstractNum w:abstractNumId="9" w15:restartNumberingAfterBreak="0">
    <w:nsid w:val="742F11BD"/>
    <w:multiLevelType w:val="multilevel"/>
    <w:tmpl w:val="FFFFFFFF"/>
    <w:styleLink w:val="GendocOriginal14Tiretlong5List"/>
    <w:lvl w:ilvl="0">
      <w:start w:val="1"/>
      <w:numFmt w:val="bullet"/>
      <w:lvlText w:val="–"/>
      <w:lvlJc w:val="left"/>
      <w:pPr>
        <w:tabs>
          <w:tab w:val="num" w:pos="680"/>
        </w:tabs>
        <w:ind w:left="680" w:hanging="680"/>
      </w:pPr>
      <w:rPr>
        <w:rFonts w:ascii="Times New Roman" w:hAnsi="Times New Roman" w:cs="Times New Roman"/>
        <w:color w:val="000000"/>
      </w:rPr>
    </w:lvl>
    <w:lvl w:ilvl="1">
      <w:start w:val="1"/>
      <w:numFmt w:val="bullet"/>
      <w:lvlText w:val="–"/>
      <w:lvlJc w:val="left"/>
      <w:pPr>
        <w:tabs>
          <w:tab w:val="num" w:pos="1361"/>
        </w:tabs>
        <w:ind w:left="1361" w:hanging="681"/>
      </w:pPr>
      <w:rPr>
        <w:rFonts w:ascii="Times New Roman" w:hAnsi="Times New Roman" w:cs="Times New Roman"/>
        <w:b w:val="0"/>
        <w:bCs w:val="0"/>
        <w:i w:val="0"/>
        <w:iCs w:val="0"/>
        <w:color w:val="000000"/>
      </w:rPr>
    </w:lvl>
    <w:lvl w:ilvl="2">
      <w:start w:val="1"/>
      <w:numFmt w:val="bullet"/>
      <w:lvlText w:val="–"/>
      <w:lvlJc w:val="left"/>
      <w:pPr>
        <w:tabs>
          <w:tab w:val="num" w:pos="2041"/>
        </w:tabs>
        <w:ind w:left="2041" w:hanging="680"/>
      </w:pPr>
      <w:rPr>
        <w:rFonts w:ascii="Times New Roman" w:hAnsi="Times New Roman" w:cs="Times New Roman"/>
        <w:color w:val="000000"/>
      </w:rPr>
    </w:lvl>
    <w:lvl w:ilvl="3">
      <w:start w:val="1"/>
      <w:numFmt w:val="bullet"/>
      <w:lvlText w:val="–"/>
      <w:lvlJc w:val="left"/>
      <w:pPr>
        <w:tabs>
          <w:tab w:val="num" w:pos="2722"/>
        </w:tabs>
        <w:ind w:left="2722" w:hanging="681"/>
      </w:pPr>
      <w:rPr>
        <w:rFonts w:ascii="Times New Roman" w:hAnsi="Times New Roman" w:cs="Times New Roman"/>
        <w:color w:val="000000"/>
      </w:rPr>
    </w:lvl>
    <w:lvl w:ilvl="4">
      <w:start w:val="9"/>
      <w:numFmt w:val="bullet"/>
      <w:pStyle w:val="GendocOriginal14Tiretlong5"/>
      <w:lvlText w:val="–"/>
      <w:lvlJc w:val="left"/>
      <w:pPr>
        <w:tabs>
          <w:tab w:val="num" w:pos="3402"/>
        </w:tabs>
        <w:ind w:left="3402" w:hanging="680"/>
      </w:pPr>
      <w:rPr>
        <w:rFonts w:ascii="Times New Roman" w:hAnsi="Times New Roman" w:cs="Times New Roman"/>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10" w15:restartNumberingAfterBreak="0">
    <w:nsid w:val="7EF71C86"/>
    <w:multiLevelType w:val="multilevel"/>
    <w:tmpl w:val="FFFFFFFF"/>
    <w:styleLink w:val="04Titre1List"/>
    <w:lvl w:ilvl="0">
      <w:start w:val="1"/>
      <w:numFmt w:val="none"/>
      <w:pStyle w:val="04Titre1"/>
      <w:suff w:val="nothing"/>
      <w:lvlText w:val=""/>
      <w:lvlJc w:val="left"/>
      <w:pPr>
        <w:tabs>
          <w:tab w:val="num" w:pos="0"/>
        </w:tabs>
        <w:ind w:left="0" w:firstLine="0"/>
      </w:pPr>
      <w:rPr>
        <w:color w:val="000000"/>
      </w:rPr>
    </w:lvl>
    <w:lvl w:ilvl="1">
      <w:start w:val="1"/>
      <w:numFmt w:val="none"/>
      <w:pStyle w:val="05Titre2"/>
      <w:suff w:val="nothing"/>
      <w:lvlText w:val="%2"/>
      <w:lvlJc w:val="left"/>
      <w:pPr>
        <w:tabs>
          <w:tab w:val="num" w:pos="0"/>
        </w:tabs>
        <w:ind w:left="0" w:firstLine="0"/>
      </w:pPr>
      <w:rPr>
        <w:color w:val="000000"/>
      </w:rPr>
    </w:lvl>
    <w:lvl w:ilvl="2">
      <w:start w:val="1"/>
      <w:numFmt w:val="none"/>
      <w:pStyle w:val="06Titre3"/>
      <w:suff w:val="nothing"/>
      <w:lvlText w:val="%3"/>
      <w:lvlJc w:val="left"/>
      <w:pPr>
        <w:tabs>
          <w:tab w:val="num" w:pos="0"/>
        </w:tabs>
        <w:ind w:left="0" w:firstLine="0"/>
      </w:pPr>
      <w:rPr>
        <w:color w:val="000000"/>
      </w:rPr>
    </w:lvl>
    <w:lvl w:ilvl="3">
      <w:start w:val="1"/>
      <w:numFmt w:val="none"/>
      <w:pStyle w:val="07Titre4"/>
      <w:lvlText w:val="–"/>
      <w:lvlJc w:val="left"/>
      <w:pPr>
        <w:tabs>
          <w:tab w:val="num" w:pos="0"/>
        </w:tabs>
        <w:ind w:left="0" w:firstLine="0"/>
      </w:pPr>
      <w:rPr>
        <w:color w:val="000000"/>
      </w:rPr>
    </w:lvl>
    <w:lvl w:ilvl="4">
      <w:start w:val="1"/>
      <w:numFmt w:val="none"/>
      <w:lvlText w:val=""/>
      <w:lvlJc w:val="left"/>
      <w:pPr>
        <w:tabs>
          <w:tab w:val="num" w:pos="0"/>
        </w:tabs>
        <w:ind w:left="0" w:firstLine="0"/>
      </w:pPr>
      <w:rPr>
        <w:color w:val="000000"/>
      </w:rPr>
    </w:lvl>
    <w:lvl w:ilvl="5">
      <w:start w:val="1"/>
      <w:numFmt w:val="none"/>
      <w:lvlText w:val=""/>
      <w:lvlJc w:val="left"/>
      <w:pPr>
        <w:tabs>
          <w:tab w:val="num" w:pos="0"/>
        </w:tabs>
        <w:ind w:left="0" w:firstLine="0"/>
      </w:pPr>
      <w:rPr>
        <w:color w:val="000000"/>
      </w:rPr>
    </w:lvl>
    <w:lvl w:ilvl="6">
      <w:start w:val="1"/>
      <w:numFmt w:val="none"/>
      <w:lvlText w:val="%7"/>
      <w:lvlJc w:val="left"/>
      <w:pPr>
        <w:tabs>
          <w:tab w:val="num" w:pos="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left"/>
      <w:pPr>
        <w:tabs>
          <w:tab w:val="num" w:pos="0"/>
        </w:tabs>
        <w:ind w:left="0" w:firstLine="0"/>
      </w:pPr>
      <w:rPr>
        <w:color w:val="000000"/>
      </w:rPr>
    </w:lvl>
  </w:abstractNum>
  <w:abstractNum w:abstractNumId="11" w15:restartNumberingAfterBreak="0">
    <w:nsid w:val="7FC44EAF"/>
    <w:multiLevelType w:val="multilevel"/>
    <w:tmpl w:val="FFFFFFFF"/>
    <w:styleLink w:val="GendocOriginal03TiretlongList"/>
    <w:lvl w:ilvl="0">
      <w:start w:val="1"/>
      <w:numFmt w:val="bullet"/>
      <w:pStyle w:val="GendocOriginal03Tiretlong"/>
      <w:lvlText w:val="–"/>
      <w:lvlJc w:val="left"/>
      <w:pPr>
        <w:tabs>
          <w:tab w:val="num" w:pos="284"/>
        </w:tabs>
        <w:ind w:left="284" w:hanging="284"/>
      </w:pPr>
      <w:rPr>
        <w:rFonts w:ascii="Times New Roman" w:hAnsi="Times New Roman" w:cs="Times New Roman"/>
        <w:color w:val="000000"/>
      </w:rPr>
    </w:lvl>
    <w:lvl w:ilvl="1">
      <w:start w:val="1"/>
      <w:numFmt w:val="bullet"/>
      <w:pStyle w:val="GendocOriginal12Marge1avectiretlong"/>
      <w:lvlText w:val="–"/>
      <w:lvlJc w:val="left"/>
      <w:pPr>
        <w:tabs>
          <w:tab w:val="num" w:pos="1134"/>
        </w:tabs>
        <w:ind w:left="1134" w:hanging="567"/>
      </w:pPr>
      <w:rPr>
        <w:rFonts w:ascii="Times New Roman" w:hAnsi="Times New Roman" w:cs="Times New Roman"/>
        <w:b w:val="0"/>
        <w:bCs w:val="0"/>
        <w:i w:val="0"/>
        <w:iCs w:val="0"/>
        <w:color w:val="000000"/>
      </w:rPr>
    </w:lvl>
    <w:lvl w:ilvl="2">
      <w:start w:val="1"/>
      <w:numFmt w:val="bullet"/>
      <w:pStyle w:val="GendocOriginal15Marge2avectiretlong"/>
      <w:lvlText w:val="–"/>
      <w:lvlJc w:val="left"/>
      <w:pPr>
        <w:tabs>
          <w:tab w:val="num" w:pos="1701"/>
        </w:tabs>
        <w:ind w:left="1701" w:hanging="567"/>
      </w:pPr>
      <w:rPr>
        <w:rFonts w:ascii="Times New Roman" w:hAnsi="Times New Roman" w:cs="Times New Roman"/>
        <w:color w:val="000000"/>
      </w:rPr>
    </w:lvl>
    <w:lvl w:ilvl="3">
      <w:start w:val="1"/>
      <w:numFmt w:val="bullet"/>
      <w:pStyle w:val="GendocOriginal18Marge3avectiretlong"/>
      <w:lvlText w:val="–"/>
      <w:lvlJc w:val="left"/>
      <w:pPr>
        <w:tabs>
          <w:tab w:val="num" w:pos="2268"/>
        </w:tabs>
        <w:ind w:left="2268" w:hanging="567"/>
      </w:pPr>
      <w:rPr>
        <w:rFonts w:ascii="Times New Roman" w:hAnsi="Times New Roman" w:cs="Times New Roman"/>
        <w:color w:val="000000"/>
      </w:rPr>
    </w:lvl>
    <w:lvl w:ilvl="4">
      <w:start w:val="9"/>
      <w:numFmt w:val="none"/>
      <w:suff w:val="nothing"/>
      <w:lvlText w:val=""/>
      <w:lvlJc w:val="left"/>
      <w:pPr>
        <w:tabs>
          <w:tab w:val="num" w:pos="0"/>
        </w:tabs>
        <w:ind w:left="-32767" w:firstLine="0"/>
      </w:pPr>
      <w:rPr>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num w:numId="1">
    <w:abstractNumId w:val="4"/>
  </w:num>
  <w:num w:numId="2">
    <w:abstractNumId w:val="11"/>
  </w:num>
  <w:num w:numId="3">
    <w:abstractNumId w:val="10"/>
  </w:num>
  <w:num w:numId="4">
    <w:abstractNumId w:val="1"/>
  </w:num>
  <w:num w:numId="5">
    <w:abstractNumId w:val="3"/>
  </w:num>
  <w:num w:numId="6">
    <w:abstractNumId w:val="7"/>
  </w:num>
  <w:num w:numId="7">
    <w:abstractNumId w:val="5"/>
  </w:num>
  <w:num w:numId="8">
    <w:abstractNumId w:val="6"/>
  </w:num>
  <w:num w:numId="9">
    <w:abstractNumId w:val="8"/>
  </w:num>
  <w:num w:numId="10">
    <w:abstractNumId w:val="2"/>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25A"/>
    <w:rsid w:val="00002C78"/>
    <w:rsid w:val="0000347D"/>
    <w:rsid w:val="00010400"/>
    <w:rsid w:val="00013249"/>
    <w:rsid w:val="00023E32"/>
    <w:rsid w:val="00024BF2"/>
    <w:rsid w:val="000274D2"/>
    <w:rsid w:val="00041702"/>
    <w:rsid w:val="00041F9B"/>
    <w:rsid w:val="00046325"/>
    <w:rsid w:val="00052662"/>
    <w:rsid w:val="00053968"/>
    <w:rsid w:val="00065530"/>
    <w:rsid w:val="0006613E"/>
    <w:rsid w:val="0006797D"/>
    <w:rsid w:val="00071197"/>
    <w:rsid w:val="000713AA"/>
    <w:rsid w:val="00074BA5"/>
    <w:rsid w:val="00080AB3"/>
    <w:rsid w:val="000A0659"/>
    <w:rsid w:val="000A32AE"/>
    <w:rsid w:val="000A7B3F"/>
    <w:rsid w:val="000B5E85"/>
    <w:rsid w:val="000B7506"/>
    <w:rsid w:val="000B7F41"/>
    <w:rsid w:val="000D25E5"/>
    <w:rsid w:val="000D3875"/>
    <w:rsid w:val="000D451F"/>
    <w:rsid w:val="000D57C6"/>
    <w:rsid w:val="000E38B2"/>
    <w:rsid w:val="000E66E6"/>
    <w:rsid w:val="000F3919"/>
    <w:rsid w:val="000F4EEC"/>
    <w:rsid w:val="000F7BB0"/>
    <w:rsid w:val="001073DA"/>
    <w:rsid w:val="00113CC9"/>
    <w:rsid w:val="001172D0"/>
    <w:rsid w:val="0012021E"/>
    <w:rsid w:val="001243B2"/>
    <w:rsid w:val="00124FFB"/>
    <w:rsid w:val="00125D04"/>
    <w:rsid w:val="001315A4"/>
    <w:rsid w:val="0013305E"/>
    <w:rsid w:val="001437CC"/>
    <w:rsid w:val="00143ECE"/>
    <w:rsid w:val="00150493"/>
    <w:rsid w:val="00161A71"/>
    <w:rsid w:val="001704E6"/>
    <w:rsid w:val="00180956"/>
    <w:rsid w:val="00183E85"/>
    <w:rsid w:val="00190649"/>
    <w:rsid w:val="0019073C"/>
    <w:rsid w:val="00192841"/>
    <w:rsid w:val="0019397A"/>
    <w:rsid w:val="00193DC6"/>
    <w:rsid w:val="001A0E8C"/>
    <w:rsid w:val="001A3DE5"/>
    <w:rsid w:val="001A50AC"/>
    <w:rsid w:val="001A64C9"/>
    <w:rsid w:val="001B073F"/>
    <w:rsid w:val="001B5EE1"/>
    <w:rsid w:val="001C453A"/>
    <w:rsid w:val="001C454A"/>
    <w:rsid w:val="001D5CC8"/>
    <w:rsid w:val="001D5F87"/>
    <w:rsid w:val="001E32D8"/>
    <w:rsid w:val="001E4C34"/>
    <w:rsid w:val="0020239B"/>
    <w:rsid w:val="00203401"/>
    <w:rsid w:val="00207977"/>
    <w:rsid w:val="00207B23"/>
    <w:rsid w:val="0022005D"/>
    <w:rsid w:val="00226E58"/>
    <w:rsid w:val="00231617"/>
    <w:rsid w:val="002345AE"/>
    <w:rsid w:val="00234881"/>
    <w:rsid w:val="00245C66"/>
    <w:rsid w:val="00250101"/>
    <w:rsid w:val="002522C4"/>
    <w:rsid w:val="002529FF"/>
    <w:rsid w:val="00256FAB"/>
    <w:rsid w:val="0026358A"/>
    <w:rsid w:val="00280D89"/>
    <w:rsid w:val="00287F16"/>
    <w:rsid w:val="00290FE6"/>
    <w:rsid w:val="002914AD"/>
    <w:rsid w:val="002938CF"/>
    <w:rsid w:val="00294AC4"/>
    <w:rsid w:val="00296D7F"/>
    <w:rsid w:val="002B32A9"/>
    <w:rsid w:val="002B6E42"/>
    <w:rsid w:val="002B7D07"/>
    <w:rsid w:val="002C07DC"/>
    <w:rsid w:val="002C2F6F"/>
    <w:rsid w:val="002D57FF"/>
    <w:rsid w:val="002E00D7"/>
    <w:rsid w:val="002E191A"/>
    <w:rsid w:val="00306590"/>
    <w:rsid w:val="00327555"/>
    <w:rsid w:val="00330130"/>
    <w:rsid w:val="00333D9F"/>
    <w:rsid w:val="00361F80"/>
    <w:rsid w:val="003632FC"/>
    <w:rsid w:val="00365463"/>
    <w:rsid w:val="003809A7"/>
    <w:rsid w:val="00381761"/>
    <w:rsid w:val="00384D5F"/>
    <w:rsid w:val="003855A9"/>
    <w:rsid w:val="00392E73"/>
    <w:rsid w:val="00395B12"/>
    <w:rsid w:val="003A1C30"/>
    <w:rsid w:val="003A753A"/>
    <w:rsid w:val="003C5161"/>
    <w:rsid w:val="003C5D01"/>
    <w:rsid w:val="003C7655"/>
    <w:rsid w:val="003C782F"/>
    <w:rsid w:val="003D0AE4"/>
    <w:rsid w:val="003D3399"/>
    <w:rsid w:val="003E684C"/>
    <w:rsid w:val="003F5178"/>
    <w:rsid w:val="004053B5"/>
    <w:rsid w:val="00422E57"/>
    <w:rsid w:val="004363BF"/>
    <w:rsid w:val="004438EC"/>
    <w:rsid w:val="004450B5"/>
    <w:rsid w:val="004461D5"/>
    <w:rsid w:val="004474B1"/>
    <w:rsid w:val="00451A45"/>
    <w:rsid w:val="0045399C"/>
    <w:rsid w:val="004541FB"/>
    <w:rsid w:val="004630BE"/>
    <w:rsid w:val="00466B3B"/>
    <w:rsid w:val="00471A04"/>
    <w:rsid w:val="00471BBB"/>
    <w:rsid w:val="00471E5F"/>
    <w:rsid w:val="00474908"/>
    <w:rsid w:val="0048530C"/>
    <w:rsid w:val="00485EBD"/>
    <w:rsid w:val="0048673A"/>
    <w:rsid w:val="00487485"/>
    <w:rsid w:val="00487E78"/>
    <w:rsid w:val="004918D7"/>
    <w:rsid w:val="00497323"/>
    <w:rsid w:val="00497BCE"/>
    <w:rsid w:val="004A171F"/>
    <w:rsid w:val="004A4298"/>
    <w:rsid w:val="004A502F"/>
    <w:rsid w:val="004A5D07"/>
    <w:rsid w:val="004B1D55"/>
    <w:rsid w:val="004D70DE"/>
    <w:rsid w:val="004E3A0F"/>
    <w:rsid w:val="004F438C"/>
    <w:rsid w:val="004F4F89"/>
    <w:rsid w:val="005038C1"/>
    <w:rsid w:val="00507DE2"/>
    <w:rsid w:val="005278E3"/>
    <w:rsid w:val="00530BD3"/>
    <w:rsid w:val="0053377B"/>
    <w:rsid w:val="00534340"/>
    <w:rsid w:val="005356AD"/>
    <w:rsid w:val="00536B0E"/>
    <w:rsid w:val="005404CA"/>
    <w:rsid w:val="00553989"/>
    <w:rsid w:val="00557A1A"/>
    <w:rsid w:val="00561E47"/>
    <w:rsid w:val="00564118"/>
    <w:rsid w:val="0057042C"/>
    <w:rsid w:val="0057225A"/>
    <w:rsid w:val="00577BDF"/>
    <w:rsid w:val="00595AF0"/>
    <w:rsid w:val="005A012E"/>
    <w:rsid w:val="005A476C"/>
    <w:rsid w:val="005B29A2"/>
    <w:rsid w:val="005B47CA"/>
    <w:rsid w:val="005D0797"/>
    <w:rsid w:val="005D4DCB"/>
    <w:rsid w:val="005D5F2E"/>
    <w:rsid w:val="005D7184"/>
    <w:rsid w:val="005F6860"/>
    <w:rsid w:val="00600E15"/>
    <w:rsid w:val="00601117"/>
    <w:rsid w:val="00602DA2"/>
    <w:rsid w:val="0060397A"/>
    <w:rsid w:val="00603AC0"/>
    <w:rsid w:val="00607557"/>
    <w:rsid w:val="00611518"/>
    <w:rsid w:val="00617891"/>
    <w:rsid w:val="00624EB6"/>
    <w:rsid w:val="006361B5"/>
    <w:rsid w:val="006362CA"/>
    <w:rsid w:val="00637AF9"/>
    <w:rsid w:val="0064002D"/>
    <w:rsid w:val="0064208E"/>
    <w:rsid w:val="006426D9"/>
    <w:rsid w:val="006465F6"/>
    <w:rsid w:val="00657D55"/>
    <w:rsid w:val="00660BCB"/>
    <w:rsid w:val="006645EC"/>
    <w:rsid w:val="006730AC"/>
    <w:rsid w:val="006738EC"/>
    <w:rsid w:val="00674F47"/>
    <w:rsid w:val="00675992"/>
    <w:rsid w:val="006804BD"/>
    <w:rsid w:val="00681D61"/>
    <w:rsid w:val="006833BB"/>
    <w:rsid w:val="00683C63"/>
    <w:rsid w:val="006848E1"/>
    <w:rsid w:val="00687510"/>
    <w:rsid w:val="00690986"/>
    <w:rsid w:val="006922A8"/>
    <w:rsid w:val="00692C24"/>
    <w:rsid w:val="00693F0B"/>
    <w:rsid w:val="00697FFC"/>
    <w:rsid w:val="006A60FD"/>
    <w:rsid w:val="006B3FCF"/>
    <w:rsid w:val="006B71FB"/>
    <w:rsid w:val="006C16B9"/>
    <w:rsid w:val="006C1D6A"/>
    <w:rsid w:val="006C4819"/>
    <w:rsid w:val="006C6A7B"/>
    <w:rsid w:val="006D26CC"/>
    <w:rsid w:val="006D2863"/>
    <w:rsid w:val="006D3691"/>
    <w:rsid w:val="006E155F"/>
    <w:rsid w:val="006E1755"/>
    <w:rsid w:val="006E2607"/>
    <w:rsid w:val="006E311D"/>
    <w:rsid w:val="006E7B7B"/>
    <w:rsid w:val="006F744C"/>
    <w:rsid w:val="007125B1"/>
    <w:rsid w:val="00716AD5"/>
    <w:rsid w:val="00724D9E"/>
    <w:rsid w:val="007273A8"/>
    <w:rsid w:val="00732A03"/>
    <w:rsid w:val="007355B6"/>
    <w:rsid w:val="00743532"/>
    <w:rsid w:val="0074385D"/>
    <w:rsid w:val="00743B2D"/>
    <w:rsid w:val="0074441E"/>
    <w:rsid w:val="00746070"/>
    <w:rsid w:val="00751A2D"/>
    <w:rsid w:val="00751E17"/>
    <w:rsid w:val="00755D61"/>
    <w:rsid w:val="00761FE3"/>
    <w:rsid w:val="007649FB"/>
    <w:rsid w:val="00771A25"/>
    <w:rsid w:val="0077333D"/>
    <w:rsid w:val="00786B3A"/>
    <w:rsid w:val="007903CE"/>
    <w:rsid w:val="00793FD9"/>
    <w:rsid w:val="007C2A1A"/>
    <w:rsid w:val="007C3871"/>
    <w:rsid w:val="007C705F"/>
    <w:rsid w:val="007C7F2D"/>
    <w:rsid w:val="007D196F"/>
    <w:rsid w:val="007D1D2B"/>
    <w:rsid w:val="007D7E64"/>
    <w:rsid w:val="007E146D"/>
    <w:rsid w:val="007E5F6D"/>
    <w:rsid w:val="007F71E5"/>
    <w:rsid w:val="008035AD"/>
    <w:rsid w:val="00803916"/>
    <w:rsid w:val="008041FE"/>
    <w:rsid w:val="008065C9"/>
    <w:rsid w:val="008066A4"/>
    <w:rsid w:val="00811C15"/>
    <w:rsid w:val="00815EF8"/>
    <w:rsid w:val="0082300C"/>
    <w:rsid w:val="0082337A"/>
    <w:rsid w:val="00831E5A"/>
    <w:rsid w:val="008361A6"/>
    <w:rsid w:val="008363B5"/>
    <w:rsid w:val="00842C29"/>
    <w:rsid w:val="00842ED1"/>
    <w:rsid w:val="00846D93"/>
    <w:rsid w:val="00851662"/>
    <w:rsid w:val="00854328"/>
    <w:rsid w:val="008678DD"/>
    <w:rsid w:val="00875ABF"/>
    <w:rsid w:val="00877AF7"/>
    <w:rsid w:val="00883F9F"/>
    <w:rsid w:val="00887096"/>
    <w:rsid w:val="008A6B5D"/>
    <w:rsid w:val="008B549C"/>
    <w:rsid w:val="008B698E"/>
    <w:rsid w:val="008C1E11"/>
    <w:rsid w:val="008E386C"/>
    <w:rsid w:val="00904082"/>
    <w:rsid w:val="00905EE1"/>
    <w:rsid w:val="009143CA"/>
    <w:rsid w:val="009152D7"/>
    <w:rsid w:val="0092032F"/>
    <w:rsid w:val="009265C9"/>
    <w:rsid w:val="00951B6E"/>
    <w:rsid w:val="00956960"/>
    <w:rsid w:val="009675F0"/>
    <w:rsid w:val="00973814"/>
    <w:rsid w:val="00976595"/>
    <w:rsid w:val="00976DC1"/>
    <w:rsid w:val="00985113"/>
    <w:rsid w:val="00985159"/>
    <w:rsid w:val="00986D84"/>
    <w:rsid w:val="00992BF1"/>
    <w:rsid w:val="009A0FA2"/>
    <w:rsid w:val="009A35B8"/>
    <w:rsid w:val="009C5E0E"/>
    <w:rsid w:val="009D2EB8"/>
    <w:rsid w:val="009D3C49"/>
    <w:rsid w:val="009D527B"/>
    <w:rsid w:val="009E6B22"/>
    <w:rsid w:val="009E7ED9"/>
    <w:rsid w:val="00A048F3"/>
    <w:rsid w:val="00A10397"/>
    <w:rsid w:val="00A1740A"/>
    <w:rsid w:val="00A34D07"/>
    <w:rsid w:val="00A353F9"/>
    <w:rsid w:val="00A35C9E"/>
    <w:rsid w:val="00A35DAB"/>
    <w:rsid w:val="00A63301"/>
    <w:rsid w:val="00A6691B"/>
    <w:rsid w:val="00A76C6A"/>
    <w:rsid w:val="00A82BCA"/>
    <w:rsid w:val="00A90455"/>
    <w:rsid w:val="00A9264B"/>
    <w:rsid w:val="00A92E5A"/>
    <w:rsid w:val="00A94542"/>
    <w:rsid w:val="00A97BAC"/>
    <w:rsid w:val="00AA487A"/>
    <w:rsid w:val="00AA5546"/>
    <w:rsid w:val="00AB5C2C"/>
    <w:rsid w:val="00AB753E"/>
    <w:rsid w:val="00AB78FB"/>
    <w:rsid w:val="00AC490C"/>
    <w:rsid w:val="00AD587C"/>
    <w:rsid w:val="00AE13CD"/>
    <w:rsid w:val="00AE584E"/>
    <w:rsid w:val="00AE73CF"/>
    <w:rsid w:val="00AE7A02"/>
    <w:rsid w:val="00AF1330"/>
    <w:rsid w:val="00B01DC7"/>
    <w:rsid w:val="00B13BD1"/>
    <w:rsid w:val="00B20D20"/>
    <w:rsid w:val="00B23AF1"/>
    <w:rsid w:val="00B3037C"/>
    <w:rsid w:val="00B31FD0"/>
    <w:rsid w:val="00B32D7B"/>
    <w:rsid w:val="00B34162"/>
    <w:rsid w:val="00B3431F"/>
    <w:rsid w:val="00B42A8C"/>
    <w:rsid w:val="00B43D3C"/>
    <w:rsid w:val="00B55A3D"/>
    <w:rsid w:val="00B61AA7"/>
    <w:rsid w:val="00B73DAC"/>
    <w:rsid w:val="00B81551"/>
    <w:rsid w:val="00B857D9"/>
    <w:rsid w:val="00B961BC"/>
    <w:rsid w:val="00BA749D"/>
    <w:rsid w:val="00BB1E71"/>
    <w:rsid w:val="00BB2CC2"/>
    <w:rsid w:val="00BB47C3"/>
    <w:rsid w:val="00BC6C29"/>
    <w:rsid w:val="00BE361C"/>
    <w:rsid w:val="00BE429F"/>
    <w:rsid w:val="00BF0E9A"/>
    <w:rsid w:val="00BF6028"/>
    <w:rsid w:val="00C2737F"/>
    <w:rsid w:val="00C41C7A"/>
    <w:rsid w:val="00C4583E"/>
    <w:rsid w:val="00C638B9"/>
    <w:rsid w:val="00C63B73"/>
    <w:rsid w:val="00C66DC6"/>
    <w:rsid w:val="00C67F6D"/>
    <w:rsid w:val="00C70703"/>
    <w:rsid w:val="00C72E61"/>
    <w:rsid w:val="00C72F32"/>
    <w:rsid w:val="00C74DC5"/>
    <w:rsid w:val="00C801BD"/>
    <w:rsid w:val="00C82D33"/>
    <w:rsid w:val="00C86275"/>
    <w:rsid w:val="00C86A2A"/>
    <w:rsid w:val="00C86A80"/>
    <w:rsid w:val="00C97DDF"/>
    <w:rsid w:val="00CA06B6"/>
    <w:rsid w:val="00CB4F36"/>
    <w:rsid w:val="00CB6413"/>
    <w:rsid w:val="00CC14E4"/>
    <w:rsid w:val="00CD251E"/>
    <w:rsid w:val="00CE5204"/>
    <w:rsid w:val="00CE57EF"/>
    <w:rsid w:val="00CE5DE1"/>
    <w:rsid w:val="00CF29E8"/>
    <w:rsid w:val="00CF4FEE"/>
    <w:rsid w:val="00D22622"/>
    <w:rsid w:val="00D247E1"/>
    <w:rsid w:val="00D36F20"/>
    <w:rsid w:val="00D40073"/>
    <w:rsid w:val="00D51015"/>
    <w:rsid w:val="00D54982"/>
    <w:rsid w:val="00D57A96"/>
    <w:rsid w:val="00D667FE"/>
    <w:rsid w:val="00D70984"/>
    <w:rsid w:val="00D83CA2"/>
    <w:rsid w:val="00D967A4"/>
    <w:rsid w:val="00D96D2C"/>
    <w:rsid w:val="00DA0265"/>
    <w:rsid w:val="00DA23AB"/>
    <w:rsid w:val="00DA273B"/>
    <w:rsid w:val="00DA3C68"/>
    <w:rsid w:val="00DB2247"/>
    <w:rsid w:val="00DB2731"/>
    <w:rsid w:val="00DB4EA6"/>
    <w:rsid w:val="00DB6D84"/>
    <w:rsid w:val="00DC0290"/>
    <w:rsid w:val="00DC115B"/>
    <w:rsid w:val="00DC5A57"/>
    <w:rsid w:val="00DE002B"/>
    <w:rsid w:val="00DE2C9F"/>
    <w:rsid w:val="00DE48F9"/>
    <w:rsid w:val="00DE51F4"/>
    <w:rsid w:val="00DE6627"/>
    <w:rsid w:val="00DF24DF"/>
    <w:rsid w:val="00DF2C15"/>
    <w:rsid w:val="00DF60F9"/>
    <w:rsid w:val="00E0101E"/>
    <w:rsid w:val="00E0425A"/>
    <w:rsid w:val="00E13B35"/>
    <w:rsid w:val="00E16FFE"/>
    <w:rsid w:val="00E25DBE"/>
    <w:rsid w:val="00E31539"/>
    <w:rsid w:val="00E4570A"/>
    <w:rsid w:val="00E46D27"/>
    <w:rsid w:val="00E51579"/>
    <w:rsid w:val="00E60C3A"/>
    <w:rsid w:val="00E84B18"/>
    <w:rsid w:val="00E9354B"/>
    <w:rsid w:val="00E97C22"/>
    <w:rsid w:val="00EA6679"/>
    <w:rsid w:val="00EB210E"/>
    <w:rsid w:val="00EB6249"/>
    <w:rsid w:val="00EC406B"/>
    <w:rsid w:val="00EC5720"/>
    <w:rsid w:val="00ED47DB"/>
    <w:rsid w:val="00EE4C91"/>
    <w:rsid w:val="00EE742C"/>
    <w:rsid w:val="00EF1448"/>
    <w:rsid w:val="00EF4B4B"/>
    <w:rsid w:val="00F02167"/>
    <w:rsid w:val="00F03D31"/>
    <w:rsid w:val="00F108E3"/>
    <w:rsid w:val="00F10C1F"/>
    <w:rsid w:val="00F1726E"/>
    <w:rsid w:val="00F24666"/>
    <w:rsid w:val="00F43E19"/>
    <w:rsid w:val="00F459EB"/>
    <w:rsid w:val="00F467C2"/>
    <w:rsid w:val="00F552C6"/>
    <w:rsid w:val="00F6341B"/>
    <w:rsid w:val="00F655AE"/>
    <w:rsid w:val="00F721B7"/>
    <w:rsid w:val="00F74744"/>
    <w:rsid w:val="00F74C3E"/>
    <w:rsid w:val="00F8039D"/>
    <w:rsid w:val="00F81306"/>
    <w:rsid w:val="00F820BD"/>
    <w:rsid w:val="00FB75B8"/>
    <w:rsid w:val="00FD374E"/>
    <w:rsid w:val="00FD4B0A"/>
    <w:rsid w:val="00FD76E3"/>
    <w:rsid w:val="00FE1021"/>
    <w:rsid w:val="00FF125E"/>
  </w:rsids>
  <m:mathPr>
    <m:mathFont m:val="Cambria Math"/>
    <m:brkBin m:val="before"/>
    <m:brkBinSub m:val="--"/>
    <m:smallFrac m:val="0"/>
    <m:dispDef/>
    <m:lMargin m:val="0"/>
    <m:rMargin m:val="0"/>
    <m:defJc m:val="centerGroup"/>
    <m:wrapIndent m:val="1440"/>
    <m:intLim m:val="subSup"/>
    <m:naryLim m:val="undOvr"/>
  </m:mathPr>
  <w:themeFontLang w:val="et-EE" w:eastAsia="et-EE" w:bidi="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6F19E"/>
  <w15:docId w15:val="{626BA206-51B9-4F8C-92D5-977A3F75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et-EE"/>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pPr>
      <w:spacing w:after="0" w:line="240" w:lineRule="auto"/>
    </w:pPr>
    <w:rPr>
      <w:sz w:val="25"/>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ProvisoryCharacterStyle">
    <w:name w:val="FooterProvisoryCharacterStyle"/>
    <w:basedOn w:val="DefaultParagraphFont"/>
    <w:uiPriority w:val="99"/>
    <w:rPr>
      <w:b/>
      <w:bCs/>
      <w:sz w:val="20"/>
      <w:szCs w:val="19"/>
    </w:rPr>
  </w:style>
  <w:style w:type="character" w:customStyle="1" w:styleId="GendocOriginalFooterProvisoryCharacterStyle">
    <w:name w:val="Gendoc_Original_FooterProvisoryCharacterStyle"/>
    <w:basedOn w:val="DefaultParagraphFont"/>
    <w:uiPriority w:val="99"/>
    <w:semiHidden/>
    <w:rPr>
      <w:b/>
      <w:bCs/>
      <w:sz w:val="20"/>
      <w:szCs w:val="19"/>
    </w:rPr>
  </w:style>
  <w:style w:type="paragraph" w:styleId="BalloonText">
    <w:name w:val="Balloon Text"/>
    <w:basedOn w:val="Normal"/>
    <w:link w:val="BalloonTextChar"/>
    <w:uiPriority w:val="99"/>
    <w:semiHidden/>
    <w:unhideWhenUsed/>
    <w:rsid w:val="00DF24DF"/>
    <w:rPr>
      <w:rFonts w:ascii="Tahoma" w:hAnsi="Tahoma" w:cs="Tahoma"/>
      <w:sz w:val="16"/>
      <w:szCs w:val="16"/>
    </w:rPr>
  </w:style>
  <w:style w:type="character" w:customStyle="1" w:styleId="BalloonTextChar">
    <w:name w:val="Balloon Text Char"/>
    <w:basedOn w:val="DefaultParagraphFont"/>
    <w:link w:val="BalloonText"/>
    <w:uiPriority w:val="99"/>
    <w:semiHidden/>
    <w:rsid w:val="00DF24DF"/>
    <w:rPr>
      <w:rFonts w:ascii="Tahoma" w:hAnsi="Tahoma" w:cs="Tahoma"/>
      <w:sz w:val="16"/>
      <w:szCs w:val="16"/>
    </w:rPr>
  </w:style>
  <w:style w:type="character" w:styleId="FollowedHyperlink">
    <w:name w:val="FollowedHyperlink"/>
    <w:basedOn w:val="DefaultParagraphFont"/>
    <w:uiPriority w:val="99"/>
    <w:semiHidden/>
    <w:unhideWhenUsed/>
    <w:rsid w:val="006C4819"/>
    <w:rPr>
      <w:color w:val="800080" w:themeColor="followed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A9264B"/>
  </w:style>
  <w:style w:type="paragraph" w:styleId="CommentSubject">
    <w:name w:val="annotation subject"/>
    <w:basedOn w:val="CommentText"/>
    <w:next w:val="CommentText"/>
    <w:link w:val="CommentSubjectChar"/>
    <w:uiPriority w:val="99"/>
    <w:semiHidden/>
    <w:unhideWhenUsed/>
    <w:rsid w:val="00A9264B"/>
    <w:rPr>
      <w:b/>
      <w:bCs/>
    </w:rPr>
  </w:style>
  <w:style w:type="character" w:customStyle="1" w:styleId="CommentSubjectChar">
    <w:name w:val="Comment Subject Char"/>
    <w:basedOn w:val="CommentTextChar"/>
    <w:link w:val="CommentSubject"/>
    <w:uiPriority w:val="99"/>
    <w:semiHidden/>
    <w:rsid w:val="00A9264B"/>
    <w:rPr>
      <w:b/>
      <w:bCs/>
    </w:rPr>
  </w:style>
  <w:style w:type="character" w:customStyle="1" w:styleId="02BoldCharacterStyle">
    <w:name w:val="02_BoldCharacterStyle"/>
    <w:basedOn w:val="DefaultParagraphFont"/>
    <w:uiPriority w:val="99"/>
    <w:rPr>
      <w:b/>
      <w:bCs/>
    </w:rPr>
  </w:style>
  <w:style w:type="character" w:customStyle="1" w:styleId="GendocOriginal02BoldCharacterStyle">
    <w:name w:val="Gendoc_Original_02_BoldCharacterStyle"/>
    <w:basedOn w:val="DefaultParagraphFont"/>
    <w:uiPriority w:val="99"/>
    <w:semiHidden/>
    <w:rPr>
      <w:b/>
      <w:bCs/>
    </w:rPr>
  </w:style>
  <w:style w:type="character" w:customStyle="1" w:styleId="02ItalicCharacterStyle">
    <w:name w:val="02_ItalicCharacterStyle"/>
    <w:basedOn w:val="DefaultParagraphFont"/>
    <w:uiPriority w:val="99"/>
    <w:rPr>
      <w:i/>
      <w:iCs/>
    </w:rPr>
  </w:style>
  <w:style w:type="character" w:customStyle="1" w:styleId="GendocOriginal02ItalicCharacterStyle">
    <w:name w:val="Gendoc_Original_02_ItalicCharacterStyle"/>
    <w:basedOn w:val="DefaultParagraphFont"/>
    <w:uiPriority w:val="99"/>
    <w:semiHidden/>
    <w:rPr>
      <w:i/>
      <w:iCs/>
    </w:rPr>
  </w:style>
  <w:style w:type="character" w:customStyle="1" w:styleId="FooterCharacterStyle">
    <w:name w:val="FooterCharacterStyle"/>
    <w:basedOn w:val="DefaultParagraphFont"/>
    <w:uiPriority w:val="99"/>
    <w:rPr>
      <w:b w:val="0"/>
      <w:bCs w:val="0"/>
    </w:rPr>
  </w:style>
  <w:style w:type="character" w:customStyle="1" w:styleId="GendocOriginalFooterCharacterStyle">
    <w:name w:val="Gendoc_Original_FooterCharacterStyle"/>
    <w:basedOn w:val="DefaultParagraphFont"/>
    <w:uiPriority w:val="99"/>
    <w:semiHidden/>
    <w:rPr>
      <w:b w:val="0"/>
      <w:bCs w:val="0"/>
    </w:rPr>
  </w:style>
  <w:style w:type="character" w:customStyle="1" w:styleId="FooterBoldCharacterStyle">
    <w:name w:val="FooterBoldCharacterStyle"/>
    <w:basedOn w:val="DefaultParagraphFont"/>
    <w:uiPriority w:val="99"/>
    <w:rPr>
      <w:b/>
      <w:bCs/>
    </w:rPr>
  </w:style>
  <w:style w:type="character" w:customStyle="1" w:styleId="GendocOriginalFooterBoldCharacterStyle">
    <w:name w:val="Gendoc_Original_FooterBoldCharacterStyle"/>
    <w:basedOn w:val="DefaultParagraphFont"/>
    <w:uiPriority w:val="99"/>
    <w:semiHidden/>
    <w:rPr>
      <w:b/>
      <w:bCs/>
    </w:rPr>
  </w:style>
  <w:style w:type="character" w:customStyle="1" w:styleId="SuperscriptStyle">
    <w:name w:val="SuperscriptStyle"/>
    <w:basedOn w:val="DefaultParagraphFont"/>
    <w:uiPriority w:val="99"/>
    <w:rPr>
      <w:vertAlign w:val="superscript"/>
    </w:rPr>
  </w:style>
  <w:style w:type="character" w:customStyle="1" w:styleId="GendocOriginalSuperscriptStyle">
    <w:name w:val="Gendoc_Original_SuperscriptStyle"/>
    <w:basedOn w:val="DefaultParagraphFont"/>
    <w:uiPriority w:val="99"/>
    <w:semiHidden/>
    <w:rPr>
      <w:vertAlign w:val="superscript"/>
    </w:rPr>
  </w:style>
  <w:style w:type="character" w:styleId="PageNumber">
    <w:name w:val="page number"/>
    <w:basedOn w:val="DefaultParagraphFont"/>
    <w:uiPriority w:val="99"/>
    <w:rPr>
      <w:b/>
      <w:bCs/>
    </w:rPr>
  </w:style>
  <w:style w:type="character" w:customStyle="1" w:styleId="GendocOriginalPageNumber">
    <w:name w:val="Gendoc_Original_Page Number"/>
    <w:basedOn w:val="DefaultParagraphFont"/>
    <w:uiPriority w:val="99"/>
    <w:semiHidden/>
    <w:rPr>
      <w:b/>
      <w:bCs/>
    </w:rPr>
  </w:style>
  <w:style w:type="character" w:customStyle="1" w:styleId="GendocOriginalDefaultParagraphFont">
    <w:name w:val="Gendoc_Original_Default Paragraph Font"/>
    <w:basedOn w:val="DefaultParagraphFont"/>
    <w:uiPriority w:val="99"/>
    <w:semiHidden/>
    <w:qFormat/>
    <w:rPr>
      <w:b w:val="0"/>
      <w:bCs w:val="0"/>
      <w:i w:val="0"/>
      <w:iCs w:val="0"/>
      <w:color w:val="auto"/>
    </w:rPr>
  </w:style>
  <w:style w:type="character" w:styleId="EndnoteReference">
    <w:name w:val="endnote reference"/>
    <w:basedOn w:val="DefaultParagraphFont"/>
    <w:uiPriority w:val="99"/>
    <w:qFormat/>
    <w:rPr>
      <w:b w:val="0"/>
      <w:bCs w:val="0"/>
      <w:i w:val="0"/>
      <w:iCs w:val="0"/>
      <w:color w:val="auto"/>
    </w:rPr>
  </w:style>
  <w:style w:type="character" w:customStyle="1" w:styleId="GendocOriginalEndnoteReference">
    <w:name w:val="Gendoc_Original_Endnote Reference"/>
    <w:basedOn w:val="DefaultParagraphFont"/>
    <w:uiPriority w:val="99"/>
    <w:semiHidden/>
    <w:qFormat/>
    <w:rPr>
      <w:b w:val="0"/>
      <w:bCs w:val="0"/>
      <w:i w:val="0"/>
      <w:iCs w:val="0"/>
      <w:color w:val="auto"/>
    </w:rPr>
  </w:style>
  <w:style w:type="character" w:styleId="FootnoteReference">
    <w:name w:val="footnote reference"/>
    <w:basedOn w:val="DefaultParagraphFont"/>
    <w:uiPriority w:val="99"/>
    <w:qFormat/>
    <w:rPr>
      <w:b w:val="0"/>
      <w:bCs w:val="0"/>
      <w:i w:val="0"/>
      <w:iCs w:val="0"/>
      <w:color w:val="auto"/>
      <w:vertAlign w:val="superscript"/>
    </w:rPr>
  </w:style>
  <w:style w:type="character" w:customStyle="1" w:styleId="GendocOriginalFootnoteReference">
    <w:name w:val="Gendoc_Original_Footnote Reference"/>
    <w:basedOn w:val="DefaultParagraphFont"/>
    <w:uiPriority w:val="99"/>
    <w:semiHidden/>
    <w:qFormat/>
    <w:rPr>
      <w:b w:val="0"/>
      <w:bCs w:val="0"/>
      <w:i w:val="0"/>
      <w:iCs w:val="0"/>
      <w:color w:val="auto"/>
      <w:vertAlign w:val="superscript"/>
    </w:rPr>
  </w:style>
  <w:style w:type="character" w:styleId="Hyperlink">
    <w:name w:val="Hyperlink"/>
    <w:basedOn w:val="DefaultParagraphFont"/>
    <w:uiPriority w:val="99"/>
    <w:qFormat/>
    <w:rPr>
      <w:b w:val="0"/>
      <w:bCs w:val="0"/>
      <w:i w:val="0"/>
      <w:iCs w:val="0"/>
      <w:color w:val="00006E"/>
    </w:rPr>
  </w:style>
  <w:style w:type="character" w:customStyle="1" w:styleId="GendocOriginalHyperlink">
    <w:name w:val="Gendoc_Original_Hyperlink"/>
    <w:basedOn w:val="DefaultParagraphFont"/>
    <w:uiPriority w:val="99"/>
    <w:semiHidden/>
    <w:qFormat/>
    <w:rPr>
      <w:b w:val="0"/>
      <w:bCs w:val="0"/>
      <w:i w:val="0"/>
      <w:iCs w:val="0"/>
      <w:color w:val="00006E"/>
    </w:rPr>
  </w:style>
  <w:style w:type="character" w:styleId="PlaceholderText">
    <w:name w:val="Placeholder Text"/>
    <w:basedOn w:val="DefaultParagraphFont"/>
    <w:uiPriority w:val="99"/>
    <w:qFormat/>
    <w:rPr>
      <w:b w:val="0"/>
      <w:bCs w:val="0"/>
      <w:i w:val="0"/>
      <w:iCs w:val="0"/>
    </w:rPr>
  </w:style>
  <w:style w:type="character" w:customStyle="1" w:styleId="GendocOriginalPlaceholderText">
    <w:name w:val="Gendoc_Original_Placeholder Text"/>
    <w:basedOn w:val="DefaultParagraphFont"/>
    <w:uiPriority w:val="99"/>
    <w:semiHidden/>
    <w:qFormat/>
    <w:rPr>
      <w:b w:val="0"/>
      <w:bCs w:val="0"/>
      <w:i w:val="0"/>
      <w:iCs w:val="0"/>
    </w:rPr>
  </w:style>
  <w:style w:type="paragraph" w:customStyle="1" w:styleId="BottomAnchorRightImage">
    <w:name w:val="BottomAnchorRightImage"/>
    <w:basedOn w:val="Normal"/>
    <w:uiPriority w:val="99"/>
    <w:pPr>
      <w:spacing w:after="200"/>
      <w:ind w:left="-1134"/>
    </w:pPr>
  </w:style>
  <w:style w:type="paragraph" w:customStyle="1" w:styleId="GendocOriginalBottomAnchorRightImage">
    <w:name w:val="Gendoc_Original_BottomAnchorRightImage"/>
    <w:basedOn w:val="Normal"/>
    <w:uiPriority w:val="99"/>
    <w:semiHidden/>
    <w:pPr>
      <w:spacing w:after="200"/>
      <w:ind w:left="-1134"/>
    </w:pPr>
  </w:style>
  <w:style w:type="paragraph" w:customStyle="1" w:styleId="TextBoxStyle">
    <w:name w:val="TextBoxStyle"/>
    <w:basedOn w:val="Normal"/>
    <w:uiPriority w:val="99"/>
    <w:pPr>
      <w:spacing w:before="100"/>
      <w:jc w:val="center"/>
    </w:pPr>
    <w:rPr>
      <w:sz w:val="48"/>
      <w:szCs w:val="47"/>
    </w:rPr>
  </w:style>
  <w:style w:type="paragraph" w:customStyle="1" w:styleId="GendocOriginalTextBoxStyle">
    <w:name w:val="Gendoc_Original_TextBoxStyle"/>
    <w:basedOn w:val="Normal"/>
    <w:uiPriority w:val="99"/>
    <w:semiHidden/>
    <w:pPr>
      <w:spacing w:before="100"/>
      <w:jc w:val="center"/>
    </w:pPr>
    <w:rPr>
      <w:sz w:val="48"/>
      <w:szCs w:val="47"/>
    </w:rPr>
  </w:style>
  <w:style w:type="paragraph" w:customStyle="1" w:styleId="Watermark">
    <w:name w:val="Watermark"/>
    <w:basedOn w:val="Normal"/>
    <w:uiPriority w:val="99"/>
    <w:pPr>
      <w:spacing w:after="200"/>
      <w:jc w:val="center"/>
    </w:pPr>
    <w:rPr>
      <w:color w:val="BCBCBC"/>
      <w:sz w:val="36"/>
      <w:szCs w:val="35"/>
    </w:rPr>
  </w:style>
  <w:style w:type="paragraph" w:customStyle="1" w:styleId="GendocOriginalWatermark">
    <w:name w:val="Gendoc_Original_Watermark"/>
    <w:basedOn w:val="Normal"/>
    <w:uiPriority w:val="99"/>
    <w:semiHidden/>
    <w:pPr>
      <w:spacing w:after="200"/>
      <w:jc w:val="center"/>
    </w:pPr>
    <w:rPr>
      <w:color w:val="BCBCBC"/>
      <w:sz w:val="36"/>
      <w:szCs w:val="35"/>
    </w:rPr>
  </w:style>
  <w:style w:type="paragraph" w:customStyle="1" w:styleId="93Confidentiel">
    <w:name w:val="93_Confidentiel"/>
    <w:basedOn w:val="Normal"/>
    <w:uiPriority w:val="99"/>
    <w:pPr>
      <w:spacing w:after="907"/>
      <w:jc w:val="center"/>
    </w:pPr>
    <w:rPr>
      <w:b/>
      <w:bCs/>
      <w:sz w:val="32"/>
      <w:szCs w:val="31"/>
    </w:rPr>
  </w:style>
  <w:style w:type="paragraph" w:customStyle="1" w:styleId="GendocOriginal93Confidentiel">
    <w:name w:val="Gendoc_Original_93_Confidentiel"/>
    <w:basedOn w:val="Normal"/>
    <w:uiPriority w:val="99"/>
    <w:semiHidden/>
    <w:pPr>
      <w:spacing w:after="907"/>
      <w:jc w:val="center"/>
    </w:pPr>
    <w:rPr>
      <w:b/>
      <w:bCs/>
      <w:sz w:val="32"/>
      <w:szCs w:val="31"/>
    </w:rPr>
  </w:style>
  <w:style w:type="paragraph" w:customStyle="1" w:styleId="80Autre">
    <w:name w:val="80_Autre"/>
    <w:basedOn w:val="Normal"/>
    <w:pPr>
      <w:tabs>
        <w:tab w:val="left" w:pos="567"/>
      </w:tabs>
      <w:spacing w:after="240"/>
      <w:jc w:val="both"/>
    </w:pPr>
  </w:style>
  <w:style w:type="paragraph" w:customStyle="1" w:styleId="GendocOriginal80Autre">
    <w:name w:val="Gendoc_Original_80_Autre"/>
    <w:basedOn w:val="Normal"/>
    <w:semiHidden/>
    <w:pPr>
      <w:tabs>
        <w:tab w:val="left" w:pos="567"/>
      </w:tabs>
      <w:spacing w:after="240"/>
      <w:jc w:val="both"/>
    </w:pPr>
  </w:style>
  <w:style w:type="paragraph" w:customStyle="1" w:styleId="80TableLibre">
    <w:name w:val="80_Table_Libre"/>
    <w:basedOn w:val="Normal"/>
  </w:style>
  <w:style w:type="paragraph" w:customStyle="1" w:styleId="GendocOriginal80TableLibre">
    <w:name w:val="Gendoc_Original_80_Table_Libre"/>
    <w:basedOn w:val="Normal"/>
    <w:semiHidden/>
  </w:style>
  <w:style w:type="paragraph" w:customStyle="1" w:styleId="02AlineaAltA">
    <w:name w:val="02_Alinea_(Alt+A)"/>
    <w:basedOn w:val="Normal"/>
    <w:uiPriority w:val="99"/>
    <w:pPr>
      <w:tabs>
        <w:tab w:val="left" w:pos="567"/>
      </w:tabs>
      <w:spacing w:after="240"/>
      <w:jc w:val="both"/>
    </w:pPr>
  </w:style>
  <w:style w:type="paragraph" w:customStyle="1" w:styleId="GendocOriginal02AlineaAltA">
    <w:name w:val="Gendoc_Original_02_Alinea_(Alt+A)"/>
    <w:basedOn w:val="Normal"/>
    <w:next w:val="02AlineaAltA"/>
    <w:uiPriority w:val="99"/>
    <w:semiHidden/>
    <w:pPr>
      <w:tabs>
        <w:tab w:val="left" w:pos="567"/>
      </w:tabs>
      <w:spacing w:after="240"/>
      <w:jc w:val="both"/>
    </w:pPr>
  </w:style>
  <w:style w:type="paragraph" w:customStyle="1" w:styleId="03Tiretlong">
    <w:name w:val="03_Tiret_long"/>
    <w:basedOn w:val="Normal"/>
    <w:uiPriority w:val="99"/>
    <w:pPr>
      <w:numPr>
        <w:numId w:val="1"/>
      </w:numPr>
      <w:tabs>
        <w:tab w:val="right" w:pos="284"/>
      </w:tabs>
      <w:spacing w:after="240"/>
      <w:jc w:val="both"/>
    </w:pPr>
  </w:style>
  <w:style w:type="paragraph" w:customStyle="1" w:styleId="GendocOriginal03Tiretlong">
    <w:name w:val="Gendoc_Original_03_Tiret_long"/>
    <w:basedOn w:val="Normal"/>
    <w:next w:val="03Tiretlong"/>
    <w:uiPriority w:val="99"/>
    <w:semiHidden/>
    <w:pPr>
      <w:numPr>
        <w:numId w:val="2"/>
      </w:numPr>
      <w:tabs>
        <w:tab w:val="right" w:pos="284"/>
      </w:tabs>
      <w:spacing w:after="240"/>
      <w:jc w:val="both"/>
    </w:pPr>
  </w:style>
  <w:style w:type="paragraph" w:customStyle="1" w:styleId="04Titre1">
    <w:name w:val="04_Titre_1"/>
    <w:basedOn w:val="Normal"/>
    <w:uiPriority w:val="99"/>
    <w:pPr>
      <w:keepNext/>
      <w:keepLines/>
      <w:numPr>
        <w:numId w:val="3"/>
      </w:numPr>
      <w:spacing w:before="480" w:after="240"/>
      <w:jc w:val="both"/>
      <w:outlineLvl w:val="1"/>
    </w:pPr>
    <w:rPr>
      <w:b/>
      <w:bCs/>
    </w:rPr>
  </w:style>
  <w:style w:type="paragraph" w:customStyle="1" w:styleId="GendocOriginal04Titre1">
    <w:name w:val="Gendoc_Original_04_Titre_1"/>
    <w:basedOn w:val="Normal"/>
    <w:uiPriority w:val="99"/>
    <w:semiHidden/>
    <w:pPr>
      <w:keepNext/>
      <w:keepLines/>
      <w:numPr>
        <w:numId w:val="4"/>
      </w:numPr>
      <w:spacing w:before="480" w:after="240"/>
      <w:jc w:val="both"/>
      <w:outlineLvl w:val="1"/>
    </w:pPr>
    <w:rPr>
      <w:b/>
      <w:bCs/>
    </w:rPr>
  </w:style>
  <w:style w:type="paragraph" w:customStyle="1" w:styleId="05Titre2">
    <w:name w:val="05_Titre_2"/>
    <w:basedOn w:val="Normal"/>
    <w:uiPriority w:val="99"/>
    <w:pPr>
      <w:keepNext/>
      <w:keepLines/>
      <w:numPr>
        <w:ilvl w:val="1"/>
        <w:numId w:val="3"/>
      </w:numPr>
      <w:spacing w:before="360" w:after="240"/>
      <w:jc w:val="both"/>
      <w:outlineLvl w:val="2"/>
    </w:pPr>
    <w:rPr>
      <w:b/>
      <w:bCs/>
      <w:i/>
      <w:iCs/>
    </w:rPr>
  </w:style>
  <w:style w:type="paragraph" w:customStyle="1" w:styleId="GendocOriginal05Titre2">
    <w:name w:val="Gendoc_Original_05_Titre_2"/>
    <w:basedOn w:val="Normal"/>
    <w:uiPriority w:val="99"/>
    <w:semiHidden/>
    <w:pPr>
      <w:keepNext/>
      <w:keepLines/>
      <w:numPr>
        <w:ilvl w:val="1"/>
        <w:numId w:val="4"/>
      </w:numPr>
      <w:spacing w:before="360" w:after="240"/>
      <w:jc w:val="both"/>
      <w:outlineLvl w:val="2"/>
    </w:pPr>
    <w:rPr>
      <w:b/>
      <w:bCs/>
      <w:i/>
      <w:iCs/>
    </w:rPr>
  </w:style>
  <w:style w:type="paragraph" w:customStyle="1" w:styleId="06Titre3">
    <w:name w:val="06_Titre_3"/>
    <w:basedOn w:val="Normal"/>
    <w:uiPriority w:val="99"/>
    <w:pPr>
      <w:keepNext/>
      <w:keepLines/>
      <w:numPr>
        <w:ilvl w:val="2"/>
        <w:numId w:val="3"/>
      </w:numPr>
      <w:spacing w:before="360" w:after="240"/>
      <w:jc w:val="both"/>
      <w:outlineLvl w:val="3"/>
    </w:pPr>
    <w:rPr>
      <w:i/>
      <w:iCs/>
    </w:rPr>
  </w:style>
  <w:style w:type="paragraph" w:customStyle="1" w:styleId="GendocOriginal06Titre3">
    <w:name w:val="Gendoc_Original_06_Titre_3"/>
    <w:basedOn w:val="Normal"/>
    <w:uiPriority w:val="99"/>
    <w:semiHidden/>
    <w:pPr>
      <w:keepNext/>
      <w:keepLines/>
      <w:numPr>
        <w:ilvl w:val="2"/>
        <w:numId w:val="4"/>
      </w:numPr>
      <w:spacing w:before="360" w:after="240"/>
      <w:jc w:val="both"/>
      <w:outlineLvl w:val="3"/>
    </w:pPr>
    <w:rPr>
      <w:i/>
      <w:iCs/>
    </w:rPr>
  </w:style>
  <w:style w:type="paragraph" w:customStyle="1" w:styleId="07Titre4">
    <w:name w:val="07_Titre_4"/>
    <w:basedOn w:val="Normal"/>
    <w:uiPriority w:val="99"/>
    <w:pPr>
      <w:keepNext/>
      <w:keepLines/>
      <w:numPr>
        <w:ilvl w:val="3"/>
        <w:numId w:val="3"/>
      </w:numPr>
      <w:spacing w:before="360" w:after="240"/>
      <w:jc w:val="both"/>
      <w:outlineLvl w:val="4"/>
    </w:pPr>
    <w:rPr>
      <w:i/>
      <w:iCs/>
    </w:rPr>
  </w:style>
  <w:style w:type="paragraph" w:customStyle="1" w:styleId="GendocOriginal07Titre4">
    <w:name w:val="Gendoc_Original_07_Titre_4"/>
    <w:basedOn w:val="Normal"/>
    <w:uiPriority w:val="99"/>
    <w:semiHidden/>
    <w:pPr>
      <w:keepNext/>
      <w:keepLines/>
      <w:numPr>
        <w:ilvl w:val="3"/>
        <w:numId w:val="4"/>
      </w:numPr>
      <w:spacing w:before="360" w:after="240"/>
      <w:jc w:val="both"/>
      <w:outlineLvl w:val="4"/>
    </w:pPr>
    <w:rPr>
      <w:i/>
      <w:iCs/>
    </w:rPr>
  </w:style>
  <w:style w:type="paragraph" w:customStyle="1" w:styleId="09Marge0avecretrait">
    <w:name w:val="09_Marge_0_avec_retrait"/>
    <w:basedOn w:val="Normal"/>
    <w:uiPriority w:val="99"/>
    <w:pPr>
      <w:spacing w:after="240"/>
      <w:ind w:left="567" w:hanging="567"/>
      <w:jc w:val="both"/>
    </w:pPr>
  </w:style>
  <w:style w:type="paragraph" w:customStyle="1" w:styleId="GendocOriginal09Marge0avecretrait">
    <w:name w:val="Gendoc_Original_09_Marge_0_avec_retrait"/>
    <w:basedOn w:val="Normal"/>
    <w:next w:val="09Marge0avecretrait"/>
    <w:uiPriority w:val="99"/>
    <w:semiHidden/>
    <w:pPr>
      <w:spacing w:after="240"/>
      <w:ind w:left="567" w:hanging="567"/>
      <w:jc w:val="both"/>
    </w:pPr>
  </w:style>
  <w:style w:type="paragraph" w:customStyle="1" w:styleId="10Marge1">
    <w:name w:val="10_Marge_1"/>
    <w:basedOn w:val="Normal"/>
    <w:uiPriority w:val="99"/>
    <w:pPr>
      <w:tabs>
        <w:tab w:val="left" w:pos="567"/>
        <w:tab w:val="left" w:pos="1134"/>
      </w:tabs>
      <w:spacing w:after="240"/>
      <w:ind w:left="567"/>
      <w:jc w:val="both"/>
    </w:pPr>
  </w:style>
  <w:style w:type="paragraph" w:customStyle="1" w:styleId="GendocOriginal10Marge1">
    <w:name w:val="Gendoc_Original_10_Marge_1"/>
    <w:basedOn w:val="Normal"/>
    <w:next w:val="10Marge1"/>
    <w:uiPriority w:val="99"/>
    <w:semiHidden/>
    <w:pPr>
      <w:tabs>
        <w:tab w:val="left" w:pos="567"/>
        <w:tab w:val="left" w:pos="1134"/>
      </w:tabs>
      <w:spacing w:after="240"/>
      <w:ind w:left="567"/>
      <w:jc w:val="both"/>
    </w:pPr>
  </w:style>
  <w:style w:type="paragraph" w:customStyle="1" w:styleId="11Marge1avecretrait">
    <w:name w:val="11_Marge_1_avec_retrait"/>
    <w:basedOn w:val="Normal"/>
    <w:uiPriority w:val="99"/>
    <w:pPr>
      <w:spacing w:after="240"/>
      <w:ind w:left="1134" w:hanging="567"/>
      <w:jc w:val="both"/>
    </w:pPr>
  </w:style>
  <w:style w:type="paragraph" w:customStyle="1" w:styleId="GendocOriginal11Marge1avecretrait">
    <w:name w:val="Gendoc_Original_11_Marge_1_avec_retrait"/>
    <w:basedOn w:val="Normal"/>
    <w:next w:val="11Marge1avecretrait"/>
    <w:uiPriority w:val="99"/>
    <w:semiHidden/>
    <w:pPr>
      <w:spacing w:after="240"/>
      <w:ind w:left="1134" w:hanging="567"/>
      <w:jc w:val="both"/>
    </w:pPr>
  </w:style>
  <w:style w:type="paragraph" w:customStyle="1" w:styleId="12Marge1avectiretlong">
    <w:name w:val="12_Marge_1_avec_tiret_long"/>
    <w:basedOn w:val="Normal"/>
    <w:uiPriority w:val="99"/>
    <w:pPr>
      <w:numPr>
        <w:ilvl w:val="1"/>
        <w:numId w:val="1"/>
      </w:numPr>
      <w:tabs>
        <w:tab w:val="right" w:pos="1134"/>
      </w:tabs>
      <w:spacing w:after="240"/>
      <w:jc w:val="both"/>
    </w:pPr>
  </w:style>
  <w:style w:type="paragraph" w:customStyle="1" w:styleId="GendocOriginal12Marge1avectiretlong">
    <w:name w:val="Gendoc_Original_12_Marge_1_avec_tiret_long"/>
    <w:basedOn w:val="Normal"/>
    <w:next w:val="12Marge1avectiretlong"/>
    <w:uiPriority w:val="99"/>
    <w:semiHidden/>
    <w:pPr>
      <w:numPr>
        <w:ilvl w:val="1"/>
        <w:numId w:val="2"/>
      </w:numPr>
      <w:tabs>
        <w:tab w:val="right" w:pos="1134"/>
      </w:tabs>
      <w:spacing w:after="240"/>
      <w:jc w:val="both"/>
    </w:pPr>
  </w:style>
  <w:style w:type="paragraph" w:customStyle="1" w:styleId="13Marge2">
    <w:name w:val="13_Marge_2"/>
    <w:basedOn w:val="Normal"/>
    <w:uiPriority w:val="99"/>
    <w:pPr>
      <w:tabs>
        <w:tab w:val="left" w:pos="567"/>
        <w:tab w:val="left" w:pos="1701"/>
      </w:tabs>
      <w:spacing w:after="240"/>
      <w:ind w:left="1134"/>
      <w:jc w:val="both"/>
    </w:pPr>
  </w:style>
  <w:style w:type="paragraph" w:customStyle="1" w:styleId="GendocOriginal13Marge2">
    <w:name w:val="Gendoc_Original_13_Marge_2"/>
    <w:basedOn w:val="Normal"/>
    <w:next w:val="13Marge2"/>
    <w:uiPriority w:val="99"/>
    <w:semiHidden/>
    <w:pPr>
      <w:tabs>
        <w:tab w:val="left" w:pos="567"/>
        <w:tab w:val="left" w:pos="1701"/>
      </w:tabs>
      <w:spacing w:after="240"/>
      <w:ind w:left="1134"/>
      <w:jc w:val="both"/>
    </w:pPr>
  </w:style>
  <w:style w:type="paragraph" w:customStyle="1" w:styleId="14Marge2avecretrait">
    <w:name w:val="14_Marge_2_avec_retrait"/>
    <w:basedOn w:val="Normal"/>
    <w:uiPriority w:val="99"/>
    <w:pPr>
      <w:spacing w:after="240"/>
      <w:ind w:left="1701" w:hanging="567"/>
      <w:jc w:val="both"/>
    </w:pPr>
  </w:style>
  <w:style w:type="paragraph" w:customStyle="1" w:styleId="GendocOriginal14Marge2avecretrait">
    <w:name w:val="Gendoc_Original_14_Marge_2_avec_retrait"/>
    <w:basedOn w:val="Normal"/>
    <w:next w:val="14Marge2avecretrait"/>
    <w:uiPriority w:val="99"/>
    <w:semiHidden/>
    <w:pPr>
      <w:spacing w:after="240"/>
      <w:ind w:left="1701" w:hanging="567"/>
      <w:jc w:val="both"/>
    </w:pPr>
  </w:style>
  <w:style w:type="paragraph" w:customStyle="1" w:styleId="15Marge2avectiretlong">
    <w:name w:val="15_Marge_2_avec_tiret_long"/>
    <w:basedOn w:val="Normal"/>
    <w:uiPriority w:val="99"/>
    <w:pPr>
      <w:numPr>
        <w:ilvl w:val="2"/>
        <w:numId w:val="1"/>
      </w:numPr>
      <w:tabs>
        <w:tab w:val="right" w:pos="1701"/>
      </w:tabs>
      <w:spacing w:after="240"/>
      <w:jc w:val="both"/>
    </w:pPr>
  </w:style>
  <w:style w:type="paragraph" w:customStyle="1" w:styleId="GendocOriginal15Marge2avectiretlong">
    <w:name w:val="Gendoc_Original_15_Marge_2_avec_tiret_long"/>
    <w:basedOn w:val="Normal"/>
    <w:next w:val="15Marge2avectiretlong"/>
    <w:uiPriority w:val="99"/>
    <w:semiHidden/>
    <w:pPr>
      <w:numPr>
        <w:ilvl w:val="2"/>
        <w:numId w:val="2"/>
      </w:numPr>
      <w:tabs>
        <w:tab w:val="right" w:pos="1701"/>
      </w:tabs>
      <w:spacing w:after="240"/>
      <w:jc w:val="both"/>
    </w:pPr>
  </w:style>
  <w:style w:type="paragraph" w:customStyle="1" w:styleId="16Marge3">
    <w:name w:val="16_Marge_3"/>
    <w:basedOn w:val="Normal"/>
    <w:uiPriority w:val="99"/>
    <w:pPr>
      <w:tabs>
        <w:tab w:val="left" w:pos="2268"/>
      </w:tabs>
      <w:spacing w:after="240"/>
      <w:ind w:left="1701"/>
      <w:jc w:val="both"/>
    </w:pPr>
  </w:style>
  <w:style w:type="paragraph" w:customStyle="1" w:styleId="GendocOriginal16Marge3">
    <w:name w:val="Gendoc_Original_16_Marge_3"/>
    <w:basedOn w:val="Normal"/>
    <w:next w:val="16Marge3"/>
    <w:uiPriority w:val="99"/>
    <w:semiHidden/>
    <w:pPr>
      <w:tabs>
        <w:tab w:val="left" w:pos="2268"/>
      </w:tabs>
      <w:spacing w:after="240"/>
      <w:ind w:left="1701"/>
      <w:jc w:val="both"/>
    </w:pPr>
  </w:style>
  <w:style w:type="paragraph" w:customStyle="1" w:styleId="17Marge3avecretrait">
    <w:name w:val="17_Marge_3_avec_retrait"/>
    <w:basedOn w:val="Normal"/>
    <w:uiPriority w:val="99"/>
    <w:pPr>
      <w:spacing w:after="240"/>
      <w:ind w:left="2268" w:hanging="567"/>
      <w:jc w:val="both"/>
    </w:pPr>
  </w:style>
  <w:style w:type="paragraph" w:customStyle="1" w:styleId="GendocOriginal17Marge3avecretrait">
    <w:name w:val="Gendoc_Original_17_Marge_3_avec_retrait"/>
    <w:basedOn w:val="Normal"/>
    <w:next w:val="17Marge3avecretrait"/>
    <w:uiPriority w:val="99"/>
    <w:semiHidden/>
    <w:pPr>
      <w:spacing w:after="240"/>
      <w:ind w:left="2268" w:hanging="567"/>
      <w:jc w:val="both"/>
    </w:pPr>
  </w:style>
  <w:style w:type="paragraph" w:customStyle="1" w:styleId="18Marge3avectiretlong">
    <w:name w:val="18_Marge_3_avec_tiret_long"/>
    <w:basedOn w:val="Normal"/>
    <w:uiPriority w:val="99"/>
    <w:pPr>
      <w:numPr>
        <w:ilvl w:val="3"/>
        <w:numId w:val="1"/>
      </w:numPr>
      <w:tabs>
        <w:tab w:val="right" w:pos="2268"/>
      </w:tabs>
      <w:spacing w:after="240"/>
      <w:jc w:val="both"/>
    </w:pPr>
  </w:style>
  <w:style w:type="paragraph" w:customStyle="1" w:styleId="GendocOriginal18Marge3avectiretlong">
    <w:name w:val="Gendoc_Original_18_Marge_3_avec_tiret_long"/>
    <w:basedOn w:val="Normal"/>
    <w:next w:val="18Marge3avectiretlong"/>
    <w:uiPriority w:val="99"/>
    <w:semiHidden/>
    <w:pPr>
      <w:numPr>
        <w:ilvl w:val="3"/>
        <w:numId w:val="2"/>
      </w:numPr>
      <w:tabs>
        <w:tab w:val="right" w:pos="2268"/>
      </w:tabs>
      <w:spacing w:after="240"/>
      <w:jc w:val="both"/>
    </w:pPr>
  </w:style>
  <w:style w:type="paragraph" w:customStyle="1" w:styleId="20Centreitalique">
    <w:name w:val="20_Centre_italique"/>
    <w:basedOn w:val="Normal"/>
    <w:uiPriority w:val="99"/>
    <w:pPr>
      <w:spacing w:after="240"/>
      <w:jc w:val="center"/>
    </w:pPr>
    <w:rPr>
      <w:i/>
      <w:iCs/>
    </w:rPr>
  </w:style>
  <w:style w:type="paragraph" w:customStyle="1" w:styleId="GendocOriginal20Centreitalique">
    <w:name w:val="Gendoc_Original_20_Centre_italique"/>
    <w:basedOn w:val="Normal"/>
    <w:next w:val="20Centreitalique"/>
    <w:uiPriority w:val="99"/>
    <w:semiHidden/>
    <w:pPr>
      <w:spacing w:after="240"/>
      <w:jc w:val="center"/>
    </w:pPr>
    <w:rPr>
      <w:i/>
      <w:iCs/>
    </w:rPr>
  </w:style>
  <w:style w:type="paragraph" w:customStyle="1" w:styleId="21Titrenumerote1">
    <w:name w:val="21_Titre_numerote_1"/>
    <w:basedOn w:val="Normal"/>
    <w:uiPriority w:val="99"/>
    <w:pPr>
      <w:keepNext/>
      <w:keepLines/>
      <w:numPr>
        <w:numId w:val="5"/>
      </w:numPr>
      <w:spacing w:before="480" w:after="240"/>
      <w:jc w:val="both"/>
      <w:outlineLvl w:val="1"/>
    </w:pPr>
    <w:rPr>
      <w:b/>
      <w:bCs/>
    </w:rPr>
  </w:style>
  <w:style w:type="paragraph" w:customStyle="1" w:styleId="GendocOriginal21Titrenumerote1">
    <w:name w:val="Gendoc_Original_21_Titre_numerote_1"/>
    <w:basedOn w:val="Normal"/>
    <w:uiPriority w:val="99"/>
    <w:semiHidden/>
    <w:pPr>
      <w:keepNext/>
      <w:keepLines/>
      <w:numPr>
        <w:numId w:val="6"/>
      </w:numPr>
      <w:spacing w:before="480" w:after="240"/>
      <w:jc w:val="both"/>
      <w:outlineLvl w:val="1"/>
    </w:pPr>
    <w:rPr>
      <w:b/>
      <w:bCs/>
    </w:rPr>
  </w:style>
  <w:style w:type="paragraph" w:customStyle="1" w:styleId="22Titrenumerote2">
    <w:name w:val="22_Titre_numerote_2"/>
    <w:basedOn w:val="Normal"/>
    <w:uiPriority w:val="99"/>
    <w:pPr>
      <w:keepNext/>
      <w:keepLines/>
      <w:numPr>
        <w:ilvl w:val="1"/>
        <w:numId w:val="5"/>
      </w:numPr>
      <w:spacing w:before="360" w:after="240"/>
      <w:jc w:val="both"/>
      <w:outlineLvl w:val="2"/>
    </w:pPr>
    <w:rPr>
      <w:b/>
      <w:bCs/>
    </w:rPr>
  </w:style>
  <w:style w:type="paragraph" w:customStyle="1" w:styleId="GendocOriginal22Titrenumerote2">
    <w:name w:val="Gendoc_Original_22_Titre_numerote_2"/>
    <w:basedOn w:val="Normal"/>
    <w:uiPriority w:val="99"/>
    <w:semiHidden/>
    <w:pPr>
      <w:keepNext/>
      <w:keepLines/>
      <w:numPr>
        <w:ilvl w:val="1"/>
        <w:numId w:val="6"/>
      </w:numPr>
      <w:spacing w:before="360" w:after="240"/>
      <w:jc w:val="both"/>
      <w:outlineLvl w:val="2"/>
    </w:pPr>
    <w:rPr>
      <w:b/>
      <w:bCs/>
    </w:rPr>
  </w:style>
  <w:style w:type="paragraph" w:customStyle="1" w:styleId="23Titrenumerote3">
    <w:name w:val="23_Titre_numerote_3"/>
    <w:basedOn w:val="Normal"/>
    <w:uiPriority w:val="99"/>
    <w:pPr>
      <w:keepNext/>
      <w:keepLines/>
      <w:numPr>
        <w:ilvl w:val="2"/>
        <w:numId w:val="5"/>
      </w:numPr>
      <w:spacing w:before="360" w:after="240"/>
      <w:jc w:val="both"/>
      <w:outlineLvl w:val="3"/>
    </w:pPr>
    <w:rPr>
      <w:b/>
      <w:bCs/>
      <w:i/>
      <w:iCs/>
    </w:rPr>
  </w:style>
  <w:style w:type="paragraph" w:customStyle="1" w:styleId="GendocOriginal23Titrenumerote3">
    <w:name w:val="Gendoc_Original_23_Titre_numerote_3"/>
    <w:basedOn w:val="Normal"/>
    <w:uiPriority w:val="99"/>
    <w:semiHidden/>
    <w:pPr>
      <w:keepNext/>
      <w:keepLines/>
      <w:numPr>
        <w:ilvl w:val="2"/>
        <w:numId w:val="6"/>
      </w:numPr>
      <w:spacing w:before="360" w:after="240"/>
      <w:jc w:val="both"/>
      <w:outlineLvl w:val="3"/>
    </w:pPr>
    <w:rPr>
      <w:b/>
      <w:bCs/>
      <w:i/>
      <w:iCs/>
    </w:rPr>
  </w:style>
  <w:style w:type="paragraph" w:customStyle="1" w:styleId="24Titrenumerote4">
    <w:name w:val="24_Titre_numerote_4"/>
    <w:basedOn w:val="Normal"/>
    <w:uiPriority w:val="99"/>
    <w:pPr>
      <w:keepNext/>
      <w:keepLines/>
      <w:numPr>
        <w:ilvl w:val="3"/>
        <w:numId w:val="5"/>
      </w:numPr>
      <w:spacing w:before="360" w:after="240"/>
      <w:jc w:val="both"/>
      <w:outlineLvl w:val="4"/>
    </w:pPr>
    <w:rPr>
      <w:b/>
      <w:bCs/>
      <w:i/>
      <w:iCs/>
    </w:rPr>
  </w:style>
  <w:style w:type="paragraph" w:customStyle="1" w:styleId="GendocOriginal24Titrenumerote4">
    <w:name w:val="Gendoc_Original_24_Titre_numerote_4"/>
    <w:basedOn w:val="Normal"/>
    <w:uiPriority w:val="99"/>
    <w:semiHidden/>
    <w:pPr>
      <w:keepNext/>
      <w:keepLines/>
      <w:numPr>
        <w:ilvl w:val="3"/>
        <w:numId w:val="6"/>
      </w:numPr>
      <w:spacing w:before="360" w:after="240"/>
      <w:jc w:val="both"/>
      <w:outlineLvl w:val="4"/>
    </w:pPr>
    <w:rPr>
      <w:b/>
      <w:bCs/>
      <w:i/>
      <w:iCs/>
    </w:rPr>
  </w:style>
  <w:style w:type="paragraph" w:customStyle="1" w:styleId="25Titrenumerote5">
    <w:name w:val="25_Titre_numerote_5"/>
    <w:basedOn w:val="Normal"/>
    <w:uiPriority w:val="99"/>
    <w:pPr>
      <w:keepNext/>
      <w:keepLines/>
      <w:numPr>
        <w:ilvl w:val="4"/>
        <w:numId w:val="5"/>
      </w:numPr>
      <w:spacing w:before="360" w:after="240"/>
      <w:jc w:val="both"/>
      <w:outlineLvl w:val="5"/>
    </w:pPr>
    <w:rPr>
      <w:i/>
      <w:iCs/>
    </w:rPr>
  </w:style>
  <w:style w:type="paragraph" w:customStyle="1" w:styleId="GendocOriginal25Titrenumerote5">
    <w:name w:val="Gendoc_Original_25_Titre_numerote_5"/>
    <w:basedOn w:val="Normal"/>
    <w:uiPriority w:val="99"/>
    <w:semiHidden/>
    <w:pPr>
      <w:keepNext/>
      <w:keepLines/>
      <w:numPr>
        <w:ilvl w:val="4"/>
        <w:numId w:val="6"/>
      </w:numPr>
      <w:spacing w:before="360" w:after="240"/>
      <w:jc w:val="both"/>
      <w:outlineLvl w:val="5"/>
    </w:pPr>
    <w:rPr>
      <w:i/>
      <w:iCs/>
    </w:rPr>
  </w:style>
  <w:style w:type="paragraph" w:customStyle="1" w:styleId="26Titrenumerote6">
    <w:name w:val="26_Titre_numerote_6"/>
    <w:basedOn w:val="Normal"/>
    <w:uiPriority w:val="99"/>
    <w:pPr>
      <w:keepNext/>
      <w:keepLines/>
      <w:numPr>
        <w:ilvl w:val="5"/>
        <w:numId w:val="5"/>
      </w:numPr>
      <w:spacing w:before="360" w:after="240"/>
      <w:jc w:val="both"/>
      <w:outlineLvl w:val="6"/>
    </w:pPr>
    <w:rPr>
      <w:i/>
      <w:iCs/>
    </w:rPr>
  </w:style>
  <w:style w:type="paragraph" w:customStyle="1" w:styleId="GendocOriginal26Titrenumerote6">
    <w:name w:val="Gendoc_Original_26_Titre_numerote_6"/>
    <w:basedOn w:val="Normal"/>
    <w:uiPriority w:val="99"/>
    <w:semiHidden/>
    <w:pPr>
      <w:keepNext/>
      <w:keepLines/>
      <w:numPr>
        <w:ilvl w:val="5"/>
        <w:numId w:val="6"/>
      </w:numPr>
      <w:spacing w:before="360" w:after="240"/>
      <w:jc w:val="both"/>
      <w:outlineLvl w:val="6"/>
    </w:pPr>
    <w:rPr>
      <w:i/>
      <w:iCs/>
    </w:rPr>
  </w:style>
  <w:style w:type="paragraph" w:customStyle="1" w:styleId="27Titrenumerote7">
    <w:name w:val="27_Titre_numerote_7"/>
    <w:basedOn w:val="Normal"/>
    <w:uiPriority w:val="99"/>
    <w:pPr>
      <w:keepNext/>
      <w:keepLines/>
      <w:numPr>
        <w:ilvl w:val="6"/>
        <w:numId w:val="5"/>
      </w:numPr>
      <w:tabs>
        <w:tab w:val="left" w:pos="567"/>
      </w:tabs>
      <w:spacing w:before="360" w:after="240"/>
      <w:jc w:val="both"/>
      <w:outlineLvl w:val="7"/>
    </w:pPr>
    <w:rPr>
      <w:i/>
      <w:iCs/>
    </w:rPr>
  </w:style>
  <w:style w:type="paragraph" w:customStyle="1" w:styleId="GendocOriginal27Titrenumerote7">
    <w:name w:val="Gendoc_Original_27_Titre_numerote_7"/>
    <w:basedOn w:val="Normal"/>
    <w:uiPriority w:val="99"/>
    <w:semiHidden/>
    <w:pPr>
      <w:keepNext/>
      <w:keepLines/>
      <w:numPr>
        <w:ilvl w:val="6"/>
        <w:numId w:val="6"/>
      </w:numPr>
      <w:tabs>
        <w:tab w:val="left" w:pos="567"/>
      </w:tabs>
      <w:spacing w:before="360" w:after="240"/>
      <w:jc w:val="both"/>
      <w:outlineLvl w:val="7"/>
    </w:pPr>
    <w:rPr>
      <w:i/>
      <w:iCs/>
    </w:rPr>
  </w:style>
  <w:style w:type="paragraph" w:customStyle="1" w:styleId="28Pointnumerotemanuel">
    <w:name w:val="28_Point_numerote_manuel"/>
    <w:basedOn w:val="Normal"/>
    <w:uiPriority w:val="99"/>
    <w:pPr>
      <w:spacing w:after="240"/>
      <w:ind w:hanging="539"/>
      <w:jc w:val="both"/>
    </w:pPr>
  </w:style>
  <w:style w:type="paragraph" w:customStyle="1" w:styleId="GendocOriginal28Pointnumerotemanuel">
    <w:name w:val="Gendoc_Original_28_Point_numerote_manuel"/>
    <w:basedOn w:val="Normal"/>
    <w:next w:val="28Pointnumerotemanuel"/>
    <w:uiPriority w:val="99"/>
    <w:semiHidden/>
    <w:pPr>
      <w:spacing w:after="240"/>
      <w:ind w:hanging="539"/>
      <w:jc w:val="both"/>
    </w:pPr>
  </w:style>
  <w:style w:type="paragraph" w:customStyle="1" w:styleId="29Marge0doubleretrait">
    <w:name w:val="29_Marge_0_double_retrait"/>
    <w:basedOn w:val="Normal"/>
    <w:uiPriority w:val="99"/>
    <w:pPr>
      <w:tabs>
        <w:tab w:val="left" w:pos="567"/>
      </w:tabs>
      <w:spacing w:after="240"/>
      <w:ind w:left="1134" w:hanging="1134"/>
      <w:jc w:val="both"/>
    </w:pPr>
  </w:style>
  <w:style w:type="paragraph" w:customStyle="1" w:styleId="GendocOriginal29Marge0doubleretrait">
    <w:name w:val="Gendoc_Original_29_Marge_0_double_retrait"/>
    <w:basedOn w:val="Normal"/>
    <w:next w:val="29Marge0doubleretrait"/>
    <w:uiPriority w:val="99"/>
    <w:semiHidden/>
    <w:pPr>
      <w:tabs>
        <w:tab w:val="left" w:pos="567"/>
      </w:tabs>
      <w:spacing w:after="240"/>
      <w:ind w:left="1134" w:hanging="1134"/>
      <w:jc w:val="both"/>
    </w:pPr>
  </w:style>
  <w:style w:type="paragraph" w:customStyle="1" w:styleId="38Marge1doubleretrait">
    <w:name w:val="38_Marge_1_double_retrait"/>
    <w:basedOn w:val="Normal"/>
    <w:uiPriority w:val="99"/>
    <w:pPr>
      <w:tabs>
        <w:tab w:val="left" w:pos="1134"/>
      </w:tabs>
      <w:spacing w:after="240"/>
      <w:ind w:left="1701" w:hanging="1134"/>
      <w:jc w:val="both"/>
    </w:pPr>
  </w:style>
  <w:style w:type="paragraph" w:customStyle="1" w:styleId="GendocOriginal38Marge1doubleretrait">
    <w:name w:val="Gendoc_Original_38_Marge_1_double_retrait"/>
    <w:basedOn w:val="Normal"/>
    <w:next w:val="38Marge1doubleretrait"/>
    <w:uiPriority w:val="99"/>
    <w:semiHidden/>
    <w:pPr>
      <w:tabs>
        <w:tab w:val="left" w:pos="1134"/>
      </w:tabs>
      <w:spacing w:after="240"/>
      <w:ind w:left="1701" w:hanging="1134"/>
      <w:jc w:val="both"/>
    </w:pPr>
  </w:style>
  <w:style w:type="paragraph" w:customStyle="1" w:styleId="42FootnoteLangue">
    <w:name w:val="42_Footnote_Langue"/>
    <w:basedOn w:val="FootnoteText"/>
    <w:uiPriority w:val="99"/>
    <w:pPr>
      <w:ind w:left="142" w:hanging="142"/>
    </w:pPr>
    <w:rPr>
      <w:sz w:val="15"/>
      <w:szCs w:val="14"/>
    </w:rPr>
  </w:style>
  <w:style w:type="paragraph" w:customStyle="1" w:styleId="GendocOriginal42FootnoteLangue">
    <w:name w:val="Gendoc_Original_42_Footnote_Langue"/>
    <w:basedOn w:val="FootnoteText"/>
    <w:next w:val="42FootnoteLangue"/>
    <w:uiPriority w:val="99"/>
    <w:semiHidden/>
    <w:pPr>
      <w:ind w:left="142" w:hanging="142"/>
    </w:pPr>
    <w:rPr>
      <w:sz w:val="15"/>
      <w:szCs w:val="14"/>
    </w:rPr>
  </w:style>
  <w:style w:type="paragraph" w:customStyle="1" w:styleId="71Indicateur">
    <w:name w:val="71_Indicateur"/>
    <w:basedOn w:val="Normal"/>
    <w:uiPriority w:val="99"/>
    <w:pPr>
      <w:spacing w:before="600" w:after="560"/>
      <w:jc w:val="center"/>
    </w:pPr>
  </w:style>
  <w:style w:type="paragraph" w:customStyle="1" w:styleId="GendocOriginal71Indicateur">
    <w:name w:val="Gendoc_Original_71_Indicateur"/>
    <w:basedOn w:val="Normal"/>
    <w:next w:val="71Indicateur"/>
    <w:uiPriority w:val="99"/>
    <w:semiHidden/>
    <w:pPr>
      <w:spacing w:before="600" w:after="560"/>
      <w:jc w:val="center"/>
    </w:pPr>
  </w:style>
  <w:style w:type="paragraph" w:customStyle="1" w:styleId="72Alineadroite">
    <w:name w:val="72_Alinea_droite"/>
    <w:basedOn w:val="Normal"/>
    <w:uiPriority w:val="99"/>
    <w:pPr>
      <w:spacing w:after="240"/>
      <w:jc w:val="right"/>
    </w:pPr>
  </w:style>
  <w:style w:type="paragraph" w:customStyle="1" w:styleId="GendocOriginal72Alineadroite">
    <w:name w:val="Gendoc_Original_72_Alinea_droite"/>
    <w:basedOn w:val="Normal"/>
    <w:next w:val="72Alineadroite"/>
    <w:uiPriority w:val="99"/>
    <w:semiHidden/>
    <w:pPr>
      <w:spacing w:after="240"/>
      <w:jc w:val="right"/>
    </w:pPr>
  </w:style>
  <w:style w:type="paragraph" w:customStyle="1" w:styleId="73Alineacentregras">
    <w:name w:val="73_Alinea_centre_gras"/>
    <w:basedOn w:val="Normal"/>
    <w:uiPriority w:val="99"/>
    <w:pPr>
      <w:spacing w:after="240"/>
      <w:jc w:val="center"/>
    </w:pPr>
    <w:rPr>
      <w:b/>
      <w:bCs/>
    </w:rPr>
  </w:style>
  <w:style w:type="paragraph" w:customStyle="1" w:styleId="GendocOriginal73Alineacentregras">
    <w:name w:val="Gendoc_Original_73_Alinea_centre_gras"/>
    <w:basedOn w:val="Normal"/>
    <w:next w:val="73Alineacentregras"/>
    <w:uiPriority w:val="99"/>
    <w:semiHidden/>
    <w:pPr>
      <w:spacing w:after="240"/>
      <w:jc w:val="center"/>
    </w:pPr>
    <w:rPr>
      <w:b/>
      <w:bCs/>
    </w:rPr>
  </w:style>
  <w:style w:type="paragraph" w:customStyle="1" w:styleId="74Alineagrandespacement">
    <w:name w:val="74_Alinea_grand_espacement"/>
    <w:basedOn w:val="Normal"/>
    <w:uiPriority w:val="99"/>
    <w:pPr>
      <w:spacing w:before="960" w:after="240"/>
      <w:jc w:val="both"/>
    </w:pPr>
  </w:style>
  <w:style w:type="paragraph" w:customStyle="1" w:styleId="GendocOriginal74Alineagrandespacement">
    <w:name w:val="Gendoc_Original_74_Alinea_grand_espacement"/>
    <w:basedOn w:val="Normal"/>
    <w:next w:val="74Alineagrandespacement"/>
    <w:uiPriority w:val="99"/>
    <w:semiHidden/>
    <w:pPr>
      <w:spacing w:before="960" w:after="240"/>
      <w:jc w:val="both"/>
    </w:pPr>
  </w:style>
  <w:style w:type="paragraph" w:customStyle="1" w:styleId="90Editionprovisoiregrandemarge">
    <w:name w:val="90_Edition_provisoire_grande_marge"/>
    <w:basedOn w:val="Normal"/>
    <w:uiPriority w:val="99"/>
    <w:pPr>
      <w:spacing w:after="567"/>
      <w:jc w:val="center"/>
    </w:pPr>
    <w:rPr>
      <w:b/>
      <w:bCs/>
    </w:rPr>
  </w:style>
  <w:style w:type="paragraph" w:customStyle="1" w:styleId="GendocOriginal90Editionprovisoiregrandemarge">
    <w:name w:val="Gendoc_Original_90_Edition_provisoire_grande_marge"/>
    <w:basedOn w:val="Normal"/>
    <w:next w:val="90Editionprovisoiregrandemarge"/>
    <w:uiPriority w:val="99"/>
    <w:semiHidden/>
    <w:pPr>
      <w:spacing w:after="567"/>
      <w:jc w:val="center"/>
    </w:pPr>
    <w:rPr>
      <w:b/>
      <w:bCs/>
    </w:rPr>
  </w:style>
  <w:style w:type="paragraph" w:customStyle="1" w:styleId="91Editionprovisoire">
    <w:name w:val="91_Edition_provisoire"/>
    <w:basedOn w:val="Normal"/>
    <w:uiPriority w:val="99"/>
    <w:pPr>
      <w:spacing w:after="567"/>
      <w:jc w:val="center"/>
    </w:pPr>
    <w:rPr>
      <w:b/>
      <w:bCs/>
    </w:rPr>
  </w:style>
  <w:style w:type="paragraph" w:customStyle="1" w:styleId="GendocOriginal91Editionprovisoire">
    <w:name w:val="Gendoc_Original_91_Edition_provisoire"/>
    <w:basedOn w:val="Normal"/>
    <w:next w:val="91Editionprovisoire"/>
    <w:uiPriority w:val="99"/>
    <w:semiHidden/>
    <w:pPr>
      <w:spacing w:after="567"/>
      <w:jc w:val="center"/>
    </w:pPr>
    <w:rPr>
      <w:b/>
      <w:bCs/>
    </w:rPr>
  </w:style>
  <w:style w:type="paragraph" w:customStyle="1" w:styleId="92Documenttravail">
    <w:name w:val="92_Document_travail"/>
    <w:basedOn w:val="Normal"/>
    <w:uiPriority w:val="99"/>
    <w:pPr>
      <w:spacing w:after="567"/>
    </w:pPr>
    <w:rPr>
      <w:b/>
      <w:bCs/>
    </w:rPr>
  </w:style>
  <w:style w:type="paragraph" w:customStyle="1" w:styleId="GendocOriginal92Documenttravail">
    <w:name w:val="Gendoc_Original_92_Document_travail"/>
    <w:basedOn w:val="Normal"/>
    <w:next w:val="92Documenttravail"/>
    <w:uiPriority w:val="99"/>
    <w:semiHidden/>
    <w:pPr>
      <w:spacing w:after="567"/>
    </w:pPr>
    <w:rPr>
      <w:b/>
      <w:bCs/>
    </w:rPr>
  </w:style>
  <w:style w:type="paragraph" w:customStyle="1" w:styleId="93Titredefinitif">
    <w:name w:val="93_Titre_definitif"/>
    <w:basedOn w:val="Normal"/>
    <w:uiPriority w:val="99"/>
    <w:pPr>
      <w:spacing w:after="240"/>
      <w:jc w:val="center"/>
    </w:pPr>
  </w:style>
  <w:style w:type="paragraph" w:customStyle="1" w:styleId="GendocOriginal93Titredefinitif">
    <w:name w:val="Gendoc_Original_93_Titre_definitif"/>
    <w:basedOn w:val="Normal"/>
    <w:next w:val="93Titredefinitif"/>
    <w:uiPriority w:val="99"/>
    <w:semiHidden/>
    <w:pPr>
      <w:spacing w:after="240"/>
      <w:jc w:val="center"/>
    </w:pPr>
  </w:style>
  <w:style w:type="paragraph" w:styleId="EndnoteText">
    <w:name w:val="endnote text"/>
    <w:basedOn w:val="Normal"/>
    <w:uiPriority w:val="99"/>
    <w:pPr>
      <w:tabs>
        <w:tab w:val="left" w:pos="539"/>
      </w:tabs>
      <w:spacing w:after="200"/>
      <w:ind w:left="539" w:hanging="539"/>
      <w:jc w:val="both"/>
    </w:pPr>
    <w:rPr>
      <w:sz w:val="20"/>
      <w:szCs w:val="19"/>
    </w:rPr>
  </w:style>
  <w:style w:type="paragraph" w:customStyle="1" w:styleId="GendocOriginalEndnoteText">
    <w:name w:val="Gendoc_Original_Endnote Text"/>
    <w:basedOn w:val="Normal"/>
    <w:next w:val="EndnoteText"/>
    <w:uiPriority w:val="99"/>
    <w:semiHidden/>
    <w:pPr>
      <w:tabs>
        <w:tab w:val="left" w:pos="539"/>
      </w:tabs>
      <w:spacing w:after="200"/>
      <w:ind w:left="539" w:hanging="539"/>
      <w:jc w:val="both"/>
    </w:pPr>
    <w:rPr>
      <w:sz w:val="20"/>
      <w:szCs w:val="19"/>
    </w:rPr>
  </w:style>
  <w:style w:type="paragraph" w:styleId="Footer">
    <w:name w:val="footer"/>
    <w:basedOn w:val="Normal"/>
    <w:uiPriority w:val="99"/>
    <w:pPr>
      <w:tabs>
        <w:tab w:val="center" w:pos="4320"/>
        <w:tab w:val="right" w:pos="8640"/>
      </w:tabs>
    </w:pPr>
  </w:style>
  <w:style w:type="paragraph" w:customStyle="1" w:styleId="GendocOriginalFooter">
    <w:name w:val="Gendoc_Original_Footer"/>
    <w:basedOn w:val="Normal"/>
    <w:next w:val="Footer"/>
    <w:uiPriority w:val="99"/>
    <w:semiHidden/>
    <w:pPr>
      <w:tabs>
        <w:tab w:val="center" w:pos="4320"/>
        <w:tab w:val="right" w:pos="8640"/>
      </w:tabs>
    </w:pPr>
  </w:style>
  <w:style w:type="paragraph" w:styleId="FootnoteText">
    <w:name w:val="footnote text"/>
    <w:basedOn w:val="Normal"/>
    <w:uiPriority w:val="99"/>
    <w:pPr>
      <w:tabs>
        <w:tab w:val="left" w:pos="539"/>
      </w:tabs>
      <w:spacing w:after="200"/>
      <w:ind w:left="539" w:hanging="539"/>
      <w:jc w:val="both"/>
    </w:pPr>
    <w:rPr>
      <w:sz w:val="20"/>
      <w:szCs w:val="19"/>
    </w:rPr>
  </w:style>
  <w:style w:type="paragraph" w:customStyle="1" w:styleId="GendocOriginalFootnoteText">
    <w:name w:val="Gendoc_Original_Footnote Text"/>
    <w:basedOn w:val="Normal"/>
    <w:next w:val="FootnoteText"/>
    <w:uiPriority w:val="99"/>
    <w:semiHidden/>
    <w:pPr>
      <w:tabs>
        <w:tab w:val="left" w:pos="539"/>
      </w:tabs>
      <w:spacing w:after="200"/>
      <w:ind w:left="539" w:hanging="539"/>
      <w:jc w:val="both"/>
    </w:pPr>
    <w:rPr>
      <w:sz w:val="20"/>
      <w:szCs w:val="19"/>
    </w:rPr>
  </w:style>
  <w:style w:type="paragraph" w:styleId="Header">
    <w:name w:val="header"/>
    <w:basedOn w:val="Normal"/>
    <w:uiPriority w:val="99"/>
    <w:pPr>
      <w:tabs>
        <w:tab w:val="center" w:pos="4320"/>
        <w:tab w:val="right" w:pos="8640"/>
      </w:tabs>
      <w:jc w:val="center"/>
    </w:pPr>
    <w:rPr>
      <w:sz w:val="16"/>
      <w:szCs w:val="15"/>
    </w:rPr>
  </w:style>
  <w:style w:type="paragraph" w:customStyle="1" w:styleId="GendocOriginalHeader">
    <w:name w:val="Gendoc_Original_Header"/>
    <w:basedOn w:val="Normal"/>
    <w:next w:val="Header"/>
    <w:uiPriority w:val="99"/>
    <w:semiHidden/>
    <w:pPr>
      <w:tabs>
        <w:tab w:val="center" w:pos="4320"/>
        <w:tab w:val="right" w:pos="8640"/>
      </w:tabs>
      <w:jc w:val="center"/>
    </w:pPr>
    <w:rPr>
      <w:sz w:val="16"/>
      <w:szCs w:val="15"/>
    </w:rPr>
  </w:style>
  <w:style w:type="paragraph" w:customStyle="1" w:styleId="GendocOriginalNormal">
    <w:name w:val="Gendoc_Original_Normal"/>
    <w:basedOn w:val="Normal"/>
    <w:next w:val="Normal"/>
    <w:uiPriority w:val="99"/>
    <w:semiHidden/>
  </w:style>
  <w:style w:type="paragraph" w:styleId="TOC1">
    <w:name w:val="toc 1"/>
    <w:basedOn w:val="Normal"/>
    <w:uiPriority w:val="99"/>
    <w:pPr>
      <w:spacing w:before="240"/>
      <w:ind w:right="1134"/>
    </w:pPr>
    <w:rPr>
      <w:sz w:val="21"/>
      <w:szCs w:val="20"/>
    </w:rPr>
  </w:style>
  <w:style w:type="paragraph" w:customStyle="1" w:styleId="GendocOriginalTOC1">
    <w:name w:val="Gendoc_Original_TOC 1"/>
    <w:basedOn w:val="Normal"/>
    <w:next w:val="TOC1"/>
    <w:uiPriority w:val="99"/>
    <w:semiHidden/>
    <w:pPr>
      <w:spacing w:before="240"/>
      <w:ind w:right="1134"/>
    </w:pPr>
    <w:rPr>
      <w:sz w:val="21"/>
      <w:szCs w:val="20"/>
    </w:rPr>
  </w:style>
  <w:style w:type="paragraph" w:styleId="TOC2">
    <w:name w:val="toc 2"/>
    <w:basedOn w:val="Normal"/>
    <w:uiPriority w:val="99"/>
    <w:pPr>
      <w:ind w:left="249" w:right="1134"/>
    </w:pPr>
    <w:rPr>
      <w:sz w:val="21"/>
      <w:szCs w:val="20"/>
    </w:rPr>
  </w:style>
  <w:style w:type="paragraph" w:customStyle="1" w:styleId="GendocOriginalTOC2">
    <w:name w:val="Gendoc_Original_TOC 2"/>
    <w:basedOn w:val="Normal"/>
    <w:next w:val="TOC2"/>
    <w:uiPriority w:val="99"/>
    <w:semiHidden/>
    <w:pPr>
      <w:ind w:left="249" w:right="1134"/>
    </w:pPr>
    <w:rPr>
      <w:sz w:val="21"/>
      <w:szCs w:val="20"/>
    </w:rPr>
  </w:style>
  <w:style w:type="paragraph" w:styleId="TOC3">
    <w:name w:val="toc 3"/>
    <w:basedOn w:val="Normal"/>
    <w:uiPriority w:val="99"/>
    <w:pPr>
      <w:ind w:left="499" w:right="1134"/>
    </w:pPr>
    <w:rPr>
      <w:sz w:val="21"/>
      <w:szCs w:val="20"/>
    </w:rPr>
  </w:style>
  <w:style w:type="paragraph" w:customStyle="1" w:styleId="GendocOriginalTOC3">
    <w:name w:val="Gendoc_Original_TOC 3"/>
    <w:basedOn w:val="Normal"/>
    <w:next w:val="TOC3"/>
    <w:uiPriority w:val="99"/>
    <w:semiHidden/>
    <w:pPr>
      <w:ind w:left="499" w:right="1134"/>
    </w:pPr>
    <w:rPr>
      <w:sz w:val="21"/>
      <w:szCs w:val="20"/>
    </w:rPr>
  </w:style>
  <w:style w:type="paragraph" w:styleId="TOC4">
    <w:name w:val="toc 4"/>
    <w:basedOn w:val="Normal"/>
    <w:uiPriority w:val="99"/>
    <w:pPr>
      <w:ind w:left="748" w:right="1134"/>
    </w:pPr>
    <w:rPr>
      <w:sz w:val="21"/>
      <w:szCs w:val="20"/>
    </w:rPr>
  </w:style>
  <w:style w:type="paragraph" w:customStyle="1" w:styleId="GendocOriginalTOC4">
    <w:name w:val="Gendoc_Original_TOC 4"/>
    <w:basedOn w:val="Normal"/>
    <w:next w:val="TOC4"/>
    <w:uiPriority w:val="99"/>
    <w:semiHidden/>
    <w:pPr>
      <w:ind w:left="748" w:right="1134"/>
    </w:pPr>
    <w:rPr>
      <w:sz w:val="21"/>
      <w:szCs w:val="20"/>
    </w:rPr>
  </w:style>
  <w:style w:type="paragraph" w:styleId="TOC5">
    <w:name w:val="toc 5"/>
    <w:basedOn w:val="Normal"/>
    <w:uiPriority w:val="99"/>
    <w:pPr>
      <w:ind w:left="998" w:right="1134"/>
    </w:pPr>
    <w:rPr>
      <w:sz w:val="21"/>
      <w:szCs w:val="20"/>
    </w:rPr>
  </w:style>
  <w:style w:type="paragraph" w:customStyle="1" w:styleId="GendocOriginalTOC5">
    <w:name w:val="Gendoc_Original_TOC 5"/>
    <w:basedOn w:val="Normal"/>
    <w:next w:val="TOC5"/>
    <w:uiPriority w:val="99"/>
    <w:semiHidden/>
    <w:pPr>
      <w:ind w:left="998" w:right="1134"/>
    </w:pPr>
    <w:rPr>
      <w:sz w:val="21"/>
      <w:szCs w:val="20"/>
    </w:rPr>
  </w:style>
  <w:style w:type="paragraph" w:styleId="TOC6">
    <w:name w:val="toc 6"/>
    <w:basedOn w:val="Normal"/>
    <w:uiPriority w:val="99"/>
    <w:pPr>
      <w:ind w:left="1247" w:right="1134"/>
    </w:pPr>
    <w:rPr>
      <w:sz w:val="21"/>
      <w:szCs w:val="20"/>
    </w:rPr>
  </w:style>
  <w:style w:type="paragraph" w:customStyle="1" w:styleId="GendocOriginalTOC6">
    <w:name w:val="Gendoc_Original_TOC 6"/>
    <w:basedOn w:val="Normal"/>
    <w:next w:val="TOC6"/>
    <w:uiPriority w:val="99"/>
    <w:semiHidden/>
    <w:pPr>
      <w:ind w:left="1247" w:right="1134"/>
    </w:pPr>
    <w:rPr>
      <w:sz w:val="21"/>
      <w:szCs w:val="20"/>
    </w:rPr>
  </w:style>
  <w:style w:type="paragraph" w:styleId="TOC7">
    <w:name w:val="toc 7"/>
    <w:basedOn w:val="Normal"/>
    <w:uiPriority w:val="99"/>
    <w:pPr>
      <w:ind w:left="1503" w:right="1134"/>
    </w:pPr>
    <w:rPr>
      <w:sz w:val="21"/>
      <w:szCs w:val="20"/>
    </w:rPr>
  </w:style>
  <w:style w:type="paragraph" w:customStyle="1" w:styleId="GendocOriginalTOC7">
    <w:name w:val="Gendoc_Original_TOC 7"/>
    <w:basedOn w:val="Normal"/>
    <w:next w:val="TOC7"/>
    <w:uiPriority w:val="99"/>
    <w:semiHidden/>
    <w:pPr>
      <w:ind w:left="1503" w:right="1134"/>
    </w:pPr>
    <w:rPr>
      <w:sz w:val="21"/>
      <w:szCs w:val="20"/>
    </w:rPr>
  </w:style>
  <w:style w:type="paragraph" w:styleId="TOC8">
    <w:name w:val="toc 8"/>
    <w:basedOn w:val="Normal"/>
    <w:uiPriority w:val="99"/>
    <w:pPr>
      <w:ind w:left="1752" w:right="1134"/>
    </w:pPr>
    <w:rPr>
      <w:sz w:val="21"/>
      <w:szCs w:val="20"/>
    </w:rPr>
  </w:style>
  <w:style w:type="paragraph" w:customStyle="1" w:styleId="GendocOriginalTOC8">
    <w:name w:val="Gendoc_Original_TOC 8"/>
    <w:basedOn w:val="Normal"/>
    <w:next w:val="TOC8"/>
    <w:uiPriority w:val="99"/>
    <w:semiHidden/>
    <w:pPr>
      <w:ind w:left="1752" w:right="1134"/>
    </w:pPr>
    <w:rPr>
      <w:sz w:val="21"/>
      <w:szCs w:val="20"/>
    </w:rPr>
  </w:style>
  <w:style w:type="paragraph" w:styleId="TOC9">
    <w:name w:val="toc 9"/>
    <w:basedOn w:val="Normal"/>
    <w:uiPriority w:val="99"/>
    <w:pPr>
      <w:ind w:left="2002" w:right="1134"/>
    </w:pPr>
    <w:rPr>
      <w:sz w:val="21"/>
      <w:szCs w:val="20"/>
    </w:rPr>
  </w:style>
  <w:style w:type="paragraph" w:customStyle="1" w:styleId="GendocOriginalTOC9">
    <w:name w:val="Gendoc_Original_TOC 9"/>
    <w:basedOn w:val="Normal"/>
    <w:next w:val="TOC9"/>
    <w:uiPriority w:val="99"/>
    <w:semiHidden/>
    <w:pPr>
      <w:ind w:left="2002" w:right="1134"/>
    </w:pPr>
    <w:rPr>
      <w:sz w:val="21"/>
      <w:szCs w:val="20"/>
    </w:rPr>
  </w:style>
  <w:style w:type="paragraph" w:customStyle="1" w:styleId="RAPLogoImage">
    <w:name w:val="RAP_Logo_Image"/>
    <w:basedOn w:val="Normal"/>
    <w:uiPriority w:val="99"/>
    <w:pPr>
      <w:tabs>
        <w:tab w:val="center" w:pos="4536"/>
        <w:tab w:val="right" w:pos="9072"/>
      </w:tabs>
      <w:ind w:left="992"/>
      <w:jc w:val="center"/>
    </w:pPr>
    <w:rPr>
      <w:rFonts w:ascii="Arial" w:hAnsi="Arial" w:cs="Arial"/>
      <w:b/>
      <w:bCs/>
      <w:sz w:val="14"/>
      <w:szCs w:val="13"/>
    </w:rPr>
  </w:style>
  <w:style w:type="paragraph" w:customStyle="1" w:styleId="GendocOriginalRAPLogoImage">
    <w:name w:val="Gendoc_Original_RAP_Logo_Image"/>
    <w:basedOn w:val="Normal"/>
    <w:next w:val="RAPLogoImage"/>
    <w:uiPriority w:val="99"/>
    <w:semiHidden/>
    <w:pPr>
      <w:tabs>
        <w:tab w:val="center" w:pos="4536"/>
        <w:tab w:val="right" w:pos="9072"/>
      </w:tabs>
      <w:ind w:left="992"/>
      <w:jc w:val="center"/>
    </w:pPr>
    <w:rPr>
      <w:rFonts w:ascii="Arial" w:hAnsi="Arial" w:cs="Arial"/>
      <w:b/>
      <w:bCs/>
      <w:sz w:val="14"/>
      <w:szCs w:val="13"/>
    </w:rPr>
  </w:style>
  <w:style w:type="paragraph" w:customStyle="1" w:styleId="RAPLogoTexte">
    <w:name w:val="RAP_Logo_Texte"/>
    <w:basedOn w:val="RAPLogoImage"/>
    <w:uiPriority w:val="99"/>
    <w:pPr>
      <w:tabs>
        <w:tab w:val="center" w:pos="340"/>
        <w:tab w:val="left" w:pos="794"/>
      </w:tabs>
      <w:spacing w:after="120"/>
      <w:ind w:left="284" w:firstLine="340"/>
      <w:jc w:val="left"/>
    </w:pPr>
  </w:style>
  <w:style w:type="paragraph" w:customStyle="1" w:styleId="GendocOriginalRAPLogoTexte">
    <w:name w:val="Gendoc_Original_RAP_Logo_Texte"/>
    <w:basedOn w:val="RAPLogoImage"/>
    <w:next w:val="RAPLogoTexte"/>
    <w:uiPriority w:val="99"/>
    <w:semiHidden/>
    <w:pPr>
      <w:tabs>
        <w:tab w:val="center" w:pos="340"/>
        <w:tab w:val="left" w:pos="794"/>
      </w:tabs>
      <w:spacing w:after="120"/>
      <w:ind w:left="284" w:firstLine="340"/>
      <w:jc w:val="left"/>
    </w:pPr>
  </w:style>
  <w:style w:type="paragraph" w:customStyle="1" w:styleId="01PointAltN">
    <w:name w:val="01_Point_(Alt+N)"/>
    <w:basedOn w:val="Normal"/>
    <w:uiPriority w:val="99"/>
    <w:pPr>
      <w:numPr>
        <w:numId w:val="9"/>
      </w:numPr>
      <w:tabs>
        <w:tab w:val="right" w:pos="680"/>
      </w:tabs>
      <w:spacing w:after="240"/>
      <w:jc w:val="both"/>
    </w:pPr>
  </w:style>
  <w:style w:type="paragraph" w:customStyle="1" w:styleId="GendocOriginal01PointAltN">
    <w:name w:val="Gendoc_Original_01_Point_(Alt+N)"/>
    <w:basedOn w:val="Normal"/>
    <w:next w:val="01PointAltN"/>
    <w:uiPriority w:val="99"/>
    <w:semiHidden/>
    <w:pPr>
      <w:numPr>
        <w:numId w:val="10"/>
      </w:numPr>
      <w:tabs>
        <w:tab w:val="right" w:pos="680"/>
      </w:tabs>
      <w:spacing w:after="240"/>
      <w:jc w:val="both"/>
    </w:pPr>
  </w:style>
  <w:style w:type="paragraph" w:customStyle="1" w:styleId="14Tiretlong5">
    <w:name w:val="14_Tiret_long_5"/>
    <w:basedOn w:val="Normal"/>
    <w:uiPriority w:val="99"/>
    <w:pPr>
      <w:numPr>
        <w:ilvl w:val="4"/>
        <w:numId w:val="11"/>
      </w:numPr>
      <w:tabs>
        <w:tab w:val="right" w:pos="3402"/>
      </w:tabs>
      <w:spacing w:after="240"/>
      <w:jc w:val="both"/>
    </w:pPr>
  </w:style>
  <w:style w:type="paragraph" w:customStyle="1" w:styleId="GendocOriginal14Tiretlong5">
    <w:name w:val="Gendoc_Original_14_Tiret_long_5"/>
    <w:basedOn w:val="Normal"/>
    <w:next w:val="14Tiretlong5"/>
    <w:uiPriority w:val="99"/>
    <w:semiHidden/>
    <w:pPr>
      <w:numPr>
        <w:ilvl w:val="4"/>
        <w:numId w:val="12"/>
      </w:numPr>
      <w:tabs>
        <w:tab w:val="right" w:pos="3402"/>
      </w:tabs>
      <w:spacing w:after="240"/>
      <w:jc w:val="both"/>
    </w:pPr>
  </w:style>
  <w:style w:type="paragraph" w:customStyle="1" w:styleId="35Renvoiconclusions">
    <w:name w:val="35_Renvoi_conclusions"/>
    <w:basedOn w:val="Normal"/>
    <w:uiPriority w:val="99"/>
    <w:pPr>
      <w:spacing w:before="480" w:after="240"/>
      <w:jc w:val="center"/>
    </w:pPr>
  </w:style>
  <w:style w:type="paragraph" w:customStyle="1" w:styleId="GendocOriginal35Renvoiconclusions">
    <w:name w:val="Gendoc_Original_35_Renvoi_conclusions"/>
    <w:basedOn w:val="Normal"/>
    <w:next w:val="35Renvoiconclusions"/>
    <w:uiPriority w:val="99"/>
    <w:semiHidden/>
    <w:pPr>
      <w:spacing w:before="480" w:after="240"/>
      <w:jc w:val="center"/>
    </w:pPr>
  </w:style>
  <w:style w:type="paragraph" w:customStyle="1" w:styleId="36Centre">
    <w:name w:val="36_Centre"/>
    <w:basedOn w:val="Normal"/>
    <w:uiPriority w:val="99"/>
    <w:pPr>
      <w:jc w:val="center"/>
    </w:pPr>
  </w:style>
  <w:style w:type="paragraph" w:customStyle="1" w:styleId="GendocOriginal36Centre">
    <w:name w:val="Gendoc_Original_36_Centre"/>
    <w:basedOn w:val="Normal"/>
    <w:next w:val="36Centre"/>
    <w:uiPriority w:val="99"/>
    <w:semiHidden/>
    <w:pPr>
      <w:jc w:val="center"/>
    </w:pPr>
  </w:style>
  <w:style w:type="paragraph" w:customStyle="1" w:styleId="37Centregras">
    <w:name w:val="37_Centre_gras"/>
    <w:basedOn w:val="Normal"/>
    <w:uiPriority w:val="99"/>
    <w:pPr>
      <w:jc w:val="center"/>
    </w:pPr>
    <w:rPr>
      <w:b/>
      <w:bCs/>
    </w:rPr>
  </w:style>
  <w:style w:type="paragraph" w:customStyle="1" w:styleId="GendocOriginal37Centregras">
    <w:name w:val="Gendoc_Original_37_Centre_gras"/>
    <w:basedOn w:val="Normal"/>
    <w:next w:val="37Centregras"/>
    <w:uiPriority w:val="99"/>
    <w:semiHidden/>
    <w:pPr>
      <w:jc w:val="center"/>
    </w:pPr>
    <w:rPr>
      <w:b/>
      <w:bCs/>
    </w:rPr>
  </w:style>
  <w:style w:type="paragraph" w:customStyle="1" w:styleId="38Centregrasgrandespacement">
    <w:name w:val="38_Centre_gras_grand_espacement"/>
    <w:basedOn w:val="Normal"/>
    <w:uiPriority w:val="99"/>
    <w:pPr>
      <w:spacing w:before="840" w:after="840"/>
      <w:jc w:val="center"/>
    </w:pPr>
    <w:rPr>
      <w:b/>
      <w:bCs/>
    </w:rPr>
  </w:style>
  <w:style w:type="paragraph" w:customStyle="1" w:styleId="GendocOriginal38Centregrasgrandespacement">
    <w:name w:val="Gendoc_Original_38_Centre_gras_grand_espacement"/>
    <w:basedOn w:val="Normal"/>
    <w:next w:val="38Centregrasgrandespacement"/>
    <w:uiPriority w:val="99"/>
    <w:semiHidden/>
    <w:pPr>
      <w:spacing w:before="840" w:after="840"/>
      <w:jc w:val="center"/>
    </w:pPr>
    <w:rPr>
      <w:b/>
      <w:bCs/>
    </w:rPr>
  </w:style>
  <w:style w:type="paragraph" w:customStyle="1" w:styleId="39Centreespacement">
    <w:name w:val="39_Centre_espacement"/>
    <w:basedOn w:val="Normal"/>
    <w:uiPriority w:val="99"/>
    <w:pPr>
      <w:spacing w:before="600" w:after="600"/>
      <w:jc w:val="center"/>
    </w:pPr>
  </w:style>
  <w:style w:type="paragraph" w:customStyle="1" w:styleId="GendocOriginal39Centreespacement">
    <w:name w:val="Gendoc_Original_39_Centre_espacement"/>
    <w:basedOn w:val="Normal"/>
    <w:next w:val="39Centreespacement"/>
    <w:uiPriority w:val="99"/>
    <w:semiHidden/>
    <w:pPr>
      <w:spacing w:before="600" w:after="600"/>
      <w:jc w:val="center"/>
    </w:pPr>
  </w:style>
  <w:style w:type="numbering" w:customStyle="1" w:styleId="03TiretlongList">
    <w:name w:val="03_Tiret_long_List"/>
    <w:basedOn w:val="NoList"/>
    <w:uiPriority w:val="99"/>
    <w:qFormat/>
    <w:pPr>
      <w:numPr>
        <w:numId w:val="1"/>
      </w:numPr>
    </w:pPr>
  </w:style>
  <w:style w:type="numbering" w:customStyle="1" w:styleId="GendocOriginal03TiretlongList">
    <w:name w:val="Gendoc_Original_03_Tiret_long_List"/>
    <w:basedOn w:val="NoList"/>
    <w:uiPriority w:val="99"/>
    <w:semiHidden/>
    <w:qFormat/>
    <w:pPr>
      <w:numPr>
        <w:numId w:val="2"/>
      </w:numPr>
    </w:pPr>
  </w:style>
  <w:style w:type="numbering" w:customStyle="1" w:styleId="04Titre1List">
    <w:name w:val="04_Titre_1_List"/>
    <w:basedOn w:val="NoList"/>
    <w:uiPriority w:val="99"/>
    <w:qFormat/>
    <w:pPr>
      <w:numPr>
        <w:numId w:val="3"/>
      </w:numPr>
    </w:pPr>
  </w:style>
  <w:style w:type="numbering" w:customStyle="1" w:styleId="GendocOriginal04Titre1List">
    <w:name w:val="Gendoc_Original_04_Titre_1_List"/>
    <w:basedOn w:val="NoList"/>
    <w:uiPriority w:val="99"/>
    <w:semiHidden/>
    <w:qFormat/>
    <w:pPr>
      <w:numPr>
        <w:numId w:val="4"/>
      </w:numPr>
    </w:pPr>
  </w:style>
  <w:style w:type="numbering" w:customStyle="1" w:styleId="21Titrenumerote1List">
    <w:name w:val="21_Titre_numerote_1_List"/>
    <w:basedOn w:val="NoList"/>
    <w:uiPriority w:val="99"/>
    <w:qFormat/>
    <w:pPr>
      <w:numPr>
        <w:numId w:val="5"/>
      </w:numPr>
    </w:pPr>
  </w:style>
  <w:style w:type="numbering" w:customStyle="1" w:styleId="GendocOriginal21Titrenumerote1List">
    <w:name w:val="Gendoc_Original_21_Titre_numerote_1_List"/>
    <w:basedOn w:val="NoList"/>
    <w:uiPriority w:val="99"/>
    <w:semiHidden/>
    <w:qFormat/>
    <w:pPr>
      <w:numPr>
        <w:numId w:val="6"/>
      </w:numPr>
    </w:pPr>
  </w:style>
  <w:style w:type="numbering" w:customStyle="1" w:styleId="GendocOriginalNoList">
    <w:name w:val="Gendoc_Original_No List"/>
    <w:basedOn w:val="NoList"/>
    <w:uiPriority w:val="99"/>
    <w:semiHidden/>
    <w:qFormat/>
    <w:pPr>
      <w:numPr>
        <w:numId w:val="8"/>
      </w:numPr>
    </w:pPr>
  </w:style>
  <w:style w:type="numbering" w:customStyle="1" w:styleId="01PointAltNList">
    <w:name w:val="01_Point_(Alt+N)_List"/>
    <w:basedOn w:val="NoList"/>
    <w:uiPriority w:val="99"/>
    <w:qFormat/>
    <w:pPr>
      <w:numPr>
        <w:numId w:val="9"/>
      </w:numPr>
    </w:pPr>
  </w:style>
  <w:style w:type="numbering" w:customStyle="1" w:styleId="GendocOriginal01PointAltNList">
    <w:name w:val="Gendoc_Original_01_Point_(Alt+N)_List"/>
    <w:basedOn w:val="NoList"/>
    <w:uiPriority w:val="99"/>
    <w:semiHidden/>
    <w:qFormat/>
    <w:pPr>
      <w:numPr>
        <w:numId w:val="10"/>
      </w:numPr>
    </w:pPr>
  </w:style>
  <w:style w:type="numbering" w:customStyle="1" w:styleId="14Tiretlong5List">
    <w:name w:val="14_Tiret_long_5_List"/>
    <w:basedOn w:val="NoList"/>
    <w:uiPriority w:val="99"/>
    <w:qFormat/>
    <w:pPr>
      <w:numPr>
        <w:numId w:val="11"/>
      </w:numPr>
    </w:pPr>
  </w:style>
  <w:style w:type="numbering" w:customStyle="1" w:styleId="GendocOriginal14Tiretlong5List">
    <w:name w:val="Gendoc_Original_14_Tiret_long_5_List"/>
    <w:basedOn w:val="NoList"/>
    <w:uiPriority w:val="99"/>
    <w:semiHidden/>
    <w:qFormat/>
    <w:pPr>
      <w:numPr>
        <w:numId w:val="12"/>
      </w:numPr>
    </w:pPr>
  </w:style>
  <w:style w:type="table" w:customStyle="1" w:styleId="TableIndent">
    <w:name w:val="TableIndent"/>
    <w:basedOn w:val="TableNormal"/>
    <w:uiPriority w:val="99"/>
    <w:tblPr>
      <w:tblCellSpacing w:w="0" w:type="auto"/>
      <w:tblInd w:w="-567" w:type="dxa"/>
    </w:tblPr>
    <w:trPr>
      <w:tblCellSpacing w:w="0" w:type="auto"/>
    </w:trPr>
  </w:style>
  <w:style w:type="table" w:customStyle="1" w:styleId="GendocOriginalTableIndent">
    <w:name w:val="Gendoc_Original_TableIndent"/>
    <w:basedOn w:val="TableNormal"/>
    <w:uiPriority w:val="99"/>
    <w:semiHidden/>
    <w:tblPr>
      <w:tblCellSpacing w:w="0" w:type="auto"/>
      <w:tblInd w:w="-567" w:type="dxa"/>
    </w:tblPr>
    <w:trPr>
      <w:tblCellSpacing w:w="0" w:type="auto"/>
    </w:trPr>
  </w:style>
  <w:style w:type="table" w:customStyle="1" w:styleId="TableNoBorder">
    <w:name w:val="TableNoBorder"/>
    <w:basedOn w:val="TableNormal"/>
    <w:uiPriority w:val="99"/>
    <w:tblPr>
      <w:tblCellSpacing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Pr>
    <w:trPr>
      <w:tblCellSpacing w:w="0" w:type="auto"/>
    </w:trPr>
  </w:style>
  <w:style w:type="table" w:customStyle="1" w:styleId="GendocOriginalTableNoBorder">
    <w:name w:val="Gendoc_Original_TableNoBorder"/>
    <w:basedOn w:val="TableNormal"/>
    <w:uiPriority w:val="99"/>
    <w:semiHidden/>
    <w:tblPr>
      <w:tblCellSpacing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Pr>
    <w:trPr>
      <w:tblCellSpacing w:w="0" w:type="auto"/>
    </w:trPr>
  </w:style>
  <w:style w:type="table" w:customStyle="1" w:styleId="VertAlignCenter">
    <w:name w:val="Vert_Align_Center"/>
    <w:basedOn w:val="TableNormal"/>
    <w:uiPriority w:val="99"/>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CellSpacing w:w="0" w:type="auto"/>
    </w:trPr>
    <w:tcPr>
      <w:vAlign w:val="center"/>
    </w:tcPr>
  </w:style>
  <w:style w:type="table" w:customStyle="1" w:styleId="GendocOriginalVertAlignCenter">
    <w:name w:val="Gendoc_Original_Vert_Align_Center"/>
    <w:basedOn w:val="TableNormal"/>
    <w:uiPriority w:val="99"/>
    <w:semiHidden/>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CellSpacing w:w="0" w:type="auto"/>
    </w:trPr>
    <w:tcPr>
      <w:vAlign w:val="center"/>
    </w:tcPr>
  </w:style>
  <w:style w:type="table" w:customStyle="1" w:styleId="TableBorder">
    <w:name w:val="TableBorder"/>
    <w:basedOn w:val="TableNormal"/>
    <w:uiPriority w:val="99"/>
    <w:tblPr>
      <w:tblCellSpacing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CellSpacing w:w="0" w:type="auto"/>
    </w:trPr>
  </w:style>
  <w:style w:type="table" w:customStyle="1" w:styleId="GendocOriginalTableBorder">
    <w:name w:val="Gendoc_Original_TableBorder"/>
    <w:basedOn w:val="TableNormal"/>
    <w:uiPriority w:val="99"/>
    <w:semiHidden/>
    <w:tblPr>
      <w:tblCellSpacing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CellSpacing w:w="0" w:type="auto"/>
    </w:trPr>
  </w:style>
  <w:style w:type="table" w:customStyle="1" w:styleId="TableBoldWOMBorder">
    <w:name w:val="TableBoldWOMBorder"/>
    <w:basedOn w:val="TableNormal"/>
    <w:uiPriority w:val="99"/>
    <w:tblPr>
      <w:tblCellSpacing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tblCellSpacing w:w="0" w:type="auto"/>
    </w:trPr>
    <w:tcPr>
      <w:vAlign w:val="center"/>
    </w:tcPr>
  </w:style>
  <w:style w:type="table" w:customStyle="1" w:styleId="GendocOriginalTableBoldWOMBorder">
    <w:name w:val="Gendoc_Original_TableBoldWOMBorder"/>
    <w:basedOn w:val="TableNormal"/>
    <w:uiPriority w:val="99"/>
    <w:semiHidden/>
    <w:tblPr>
      <w:tblCellSpacing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tblCellSpacing w:w="0" w:type="auto"/>
    </w:trPr>
    <w:tcPr>
      <w:vAlign w:val="center"/>
    </w:tcPr>
  </w:style>
  <w:style w:type="table" w:customStyle="1" w:styleId="TableBoldBorder">
    <w:name w:val="TableBoldBorder"/>
    <w:basedOn w:val="TableNormal"/>
    <w:uiPriority w:val="99"/>
    <w:tblPr>
      <w:tblCellSpacing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tblCellSpacing w:w="0" w:type="auto"/>
    </w:trPr>
    <w:tcPr>
      <w:vAlign w:val="center"/>
    </w:tcPr>
  </w:style>
  <w:style w:type="table" w:customStyle="1" w:styleId="GendocOriginalTableBoldBorder">
    <w:name w:val="Gendoc_Original_TableBoldBorder"/>
    <w:basedOn w:val="TableNormal"/>
    <w:uiPriority w:val="99"/>
    <w:semiHidden/>
    <w:tblPr>
      <w:tblCellSpacing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rPr>
      <w:tblCellSpacing w:w="0" w:type="auto"/>
    </w:trPr>
    <w:tcPr>
      <w:vAlign w:val="center"/>
    </w:tcPr>
  </w:style>
  <w:style w:type="table" w:customStyle="1" w:styleId="TableBorderWithoutInside">
    <w:name w:val="TableBorderWithoutInside"/>
    <w:basedOn w:val="TableNormal"/>
    <w:uiPriority w:val="99"/>
    <w:tblPr>
      <w:tblCellSpacing w:w="0" w:type="auto"/>
      <w:tblBorders>
        <w:top w:val="single" w:sz="4" w:space="0" w:color="auto"/>
        <w:left w:val="single" w:sz="4" w:space="0" w:color="auto"/>
        <w:bottom w:val="single" w:sz="4" w:space="0" w:color="auto"/>
        <w:right w:val="single" w:sz="4" w:space="0" w:color="auto"/>
        <w:insideH w:val="none" w:sz="4" w:space="0" w:color="auto"/>
        <w:insideV w:val="none" w:sz="4" w:space="0" w:color="auto"/>
      </w:tblBorders>
    </w:tblPr>
    <w:trPr>
      <w:tblCellSpacing w:w="0" w:type="auto"/>
    </w:trPr>
    <w:tcPr>
      <w:vAlign w:val="center"/>
    </w:tcPr>
  </w:style>
  <w:style w:type="table" w:customStyle="1" w:styleId="GendocOriginalTableBorderWithoutInside">
    <w:name w:val="Gendoc_Original_TableBorderWithoutInside"/>
    <w:basedOn w:val="TableNormal"/>
    <w:uiPriority w:val="99"/>
    <w:semiHidden/>
    <w:tblPr>
      <w:tblCellSpacing w:w="0" w:type="auto"/>
      <w:tblBorders>
        <w:top w:val="single" w:sz="4" w:space="0" w:color="auto"/>
        <w:left w:val="single" w:sz="4" w:space="0" w:color="auto"/>
        <w:bottom w:val="single" w:sz="4" w:space="0" w:color="auto"/>
        <w:right w:val="single" w:sz="4" w:space="0" w:color="auto"/>
        <w:insideH w:val="none" w:sz="4" w:space="0" w:color="auto"/>
        <w:insideV w:val="none" w:sz="4" w:space="0" w:color="auto"/>
      </w:tblBorders>
    </w:tblPr>
    <w:trPr>
      <w:tblCellSpacing w:w="0" w:type="auto"/>
    </w:trPr>
    <w:tcPr>
      <w:vAlign w:val="center"/>
    </w:tcPr>
  </w:style>
  <w:style w:type="table" w:customStyle="1" w:styleId="GendocOriginalTableNormal">
    <w:name w:val="Gendoc_Original_Table Normal"/>
    <w:basedOn w:val="TableNormal"/>
    <w:uiPriority w:val="99"/>
    <w:semiHidden/>
    <w:qFormat/>
    <w:pPr>
      <w:spacing w:after="0" w:line="240" w:lineRule="auto"/>
    </w:pPr>
    <w:rPr>
      <w:szCs w:val="19"/>
    </w:rPr>
    <w:tblPr>
      <w:tblCellSpacing w:w="0" w:type="auto"/>
      <w:tblCellMar>
        <w:left w:w="0" w:type="dxa"/>
        <w:right w:w="0" w:type="dxa"/>
      </w:tblCellMar>
    </w:tblPr>
    <w:trPr>
      <w:tblCellSpacing w:w="0" w:type="auto"/>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b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template-info>
  <custom-properties type="Gendoc.Model.Application.LegalGenerationContext">
    <User>wlp</User>
    <GenerationDate>29/11/2016 10:40:32</GenerationDate>
    <GendocTemplateType>CNC_C</GendocTemplateType>
    <Lang>et-EE</Lang>
    <LangCode>et</LangCode>
    <OriginalLang>eesti keel</OriginalLang>
    <Juridiction>C</Juridiction>
    <CaseNumber>206</CaseNumber>
    <CaseYear>16</CaseYear>
    <CaseNature>RP</CaseNature>
    <CaseNumberSuite>1</CaseNumberSuite>
    <ProcedureType>P</ProcedureType>
    <ProcedureNumber>1</ProcedureNumber>
    <EditionType>Provisory</EditionType>
    <OrdonnanceMotivee/>
    <OrdonnanceType>0</OrdonnanceType>
    <TypeCase/>
    <TypeTrad>CONCL</TypeTrad>
    <Institution>TFUE</Institution>
    <Article>267</Article>
    <NumeroDossier>0</NumeroDossier>
    <NumeroSuivi2>0</NumeroSuivi2>
    <DateDepotPiece/>
    <DatePublication/>
    <IsOrdPresidentChambre>False</IsOrdPresidentChambre>
    <IsGeneratedByService>True</IsGeneratedByService>
    <HasSpaceBeforeIndice>False</HasSpaceBeforeIndice>
    <HasSpaceBeforeNote>False</HasSpaceBeforeNote>
    <BoldIndice>False</BoldIndice>
    <DecNatParameters/>
  </custom-properties>
  <document-classification>
    <AvailableLanguages>
      <lang>fr-FR</lang>
    </AvailableLanguages>
    <DocumentType>CNC</DocumentType>
    <CustomEditionTypeConfigs/>
    <Organization>
      <EditionTypeConfigs>
        <EditionTypeConfig>
          <RelatedEditionType>Final</RelatedEditionType>
          <SpaceAfterMult>1</SpaceAfterMult>
          <SpaceBeforeMult>1</SpaceBeforeMult>
          <SpaceBetweenMult>1</SpaceBetweenMult>
          <SectionMarginsOverride>
            <Top>
              <Size>1701</Size>
              <Unit>Dxa</Unit>
            </Top>
            <Bottom>
              <Size>1644</Size>
              <Unit>Dxa</Unit>
            </Bottom>
            <Left>
              <Size>1871</Size>
              <Unit>Dxa</Unit>
            </Left>
            <Right>
              <Size>1758</Size>
              <Unit>Dxa</Unit>
            </Right>
            <Gutter>
              <Size>0</Size>
              <Unit>Points</Unit>
            </Gutter>
            <HeaderStart>
              <Size>35.4</Size>
              <Unit>Points</Unit>
            </HeaderStart>
            <FooterStart>
              <Size>35.4</Size>
              <Unit>Points</Unit>
            </FooterStart>
          </SectionMarginsOverride>
        </EditionTypeConfig>
        <EditionTypeConfig>
          <RelatedEditionType>Provisory</RelatedEditionType>
          <SpaceAfterMult>1</SpaceAfterMult>
          <SpaceBeforeMult>1</SpaceBeforeMult>
          <SpaceBetweenMult>1.5</SpaceBetweenMult>
          <SectionMarginsOverride>
            <Top>
              <Size>3402</Size>
              <Unit>Dxa</Unit>
            </Top>
            <Bottom>
              <Size>2155</Size>
              <Unit>Dxa</Unit>
            </Bottom>
            <Left>
              <Size>1815</Size>
              <Unit>Dxa</Unit>
            </Left>
            <Right>
              <Size>2835</Size>
              <Unit>Dxa</Unit>
            </Right>
            <Gutter>
              <Size>0</Size>
              <Unit>Points</Unit>
            </Gutter>
            <HeaderStart>
              <Size>2551</Size>
              <Unit>Dxa</Unit>
            </HeaderStart>
            <FooterStart>
              <Size>680</Size>
              <Unit>Dxa</Unit>
            </FooterStart>
          </SectionMarginsOverride>
        </EditionTypeConfig>
        <EditionTypeConfig>
          <RelatedEditionType>ProvisoryWithoutMargins</RelatedEditionType>
          <SpaceAfterMult>1</SpaceAfterMult>
          <SpaceBeforeMult>1</SpaceBeforeMult>
          <SpaceBetweenMult>1</SpaceBetweenMult>
          <SectionMarginsOverride>
            <Top>
              <Size>3402</Size>
              <Unit>Dxa</Unit>
            </Top>
            <Bottom>
              <Size>1644</Size>
              <Unit>Dxa</Unit>
            </Bottom>
            <Left>
              <Size>1871</Size>
              <Unit>Dxa</Unit>
            </Left>
            <Right>
              <Size>1758</Size>
              <Unit>Dxa</Unit>
            </Right>
            <Gutter>
              <Size>0</Size>
              <Unit>Points</Unit>
            </Gutter>
            <HeaderStart>
              <Size>2551</Size>
              <Unit>Dxa</Unit>
            </HeaderStart>
            <FooterStart>
              <Size>680</Size>
              <Unit>Dxa</Unit>
            </FooterStart>
          </SectionMarginsOverride>
        </EditionTypeConfig>
      </EditionTypeConfigs>
      <Code>C</Code>
    </Organization>
  </document-classification>
</template-info>
</file>

<file path=customXml/item10.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SelectedStyle="\APA.XSL" StyleName="APA"/>
</file>

<file path=customXml/item2.xml><?xml version="1.0" encoding="utf-8"?>
<doc_ref lang="et">
  <dateDepotPiece/>
  <chambre numero="III"/>
  <suite>1</suite>
  <type_proc>P</type_proc>
  <numproc>1</numproc>
  <langues_procedure>
    <affaire id="C###TIRET_INSECABLE###206/16">
      <langue>IT</langue>
    </affaire>
    <agg_langue_procedure>itaalia keel</agg_langue_procedure>
    <agg_langue_procedure_count>1</agg_langue_procedure_count>
  </langues_procedure>
  <infos_rectif>
    <agg_infoRectif_count>0</agg_infoRectif_count>
    <agg_infoRectif_mention>[Tekst parandatud #  määrusega]</agg_infoRectif_mention>
  </infos_rectif>
  <dates>
    <date annee="2017" jour="01" mois="02" type="audience_plaidoirie"/>
    <date annee="2017" jour="15" mois="03" type="conclusions_av_gen"/>
    <date annee="2016" jour="13" mois="04" type="depot"/>
    <date annee="2015" jour="10" mois="11" type="renvoi"/>
    <date annee="2016" jour="11" mois="08" type="fin_proc_ecrite"/>
    <date annee="2016" jour="10" mois="10" type="derniere_traduction"/>
    <date_distribution_rapport>[Date distribution]</date_distribution_rapport>
    <rp_entamer_etude>[Entamer étude]</rp_entamer_etude>
    <rp_envoi_avgen>[Envoi Avocat général]</rp_envoi_avgen>
    <rp_accepter_avgen>[Acceptation avocat général]</rp_accepter_avgen>
    <date annee="2016" jour="06" mois="12" type="reunion_generale"/>
    <agg_audience_plaidoirie_date>01.02.2017</agg_audience_plaidoirie_date>
    <agg_prononce_date/>
    <agg_conclusions_av_gen_date>15.03.2017</agg_conclusions_av_gen_date>
    <agg_depot_date>13-04-2016</agg_depot_date>
    <agg_jonction_date/>
    <agg_cloture_date/>
    <agg_fin_proc_ecrite_date>11-08-2016</agg_fin_proc_ecrite_date>
    <agg_derniere_traduction_date>10-10-2016</agg_derniere_traduction_date>
    <agg_renvoi_date>10-11-2015</agg_renvoi_date>
    <agg_radiation_date/>
    <agg_reunion_generale_date>06-12-2016</agg_reunion_generale_date>
    <agg_cloture_fin_mention_date/>
    <agg_ordonnance_date/>
    <agg_pieceDossier_date/>
  </dates>
  <rp_annexe>[Annexe]</rp_annexe>
  <JO>JO C###NON_BREAKING_SPACE###251 du 11.7.2016.</JO>
  <rp_juge_rapporteur>M. Vilaras</rp_juge_rapporteur>
  <depot>
    <act_id>8221</act_id>
    <juridiction>Consiglio di Stato</juridiction>
    <pays_code>I</pays_code>
    <pays>Itaalia</pays>
    <date_renvoi>10/11/2015</date_renvoi>
    <affaire_penale>N</affaire_penale>
  </depot>
  <depotOriginal>
    <typeDepotOriginal/>
    <date annee="2016" jour="13" mois="04" type="dateDepotOriginal"/>
    <agg_depotOriginal_date>13-04-2016</agg_depotOriginal_date>
  </depotOriginal>
  <organisation_procedure>0</organisation_procedure>
  <procedure_orale>0</procedure_orale>
  <reouv>0</reouv>
  <conc_juge_av_gen>0</conc_juge_av_gen>
  <president_juridiction>
    <nom>Lenaerts</nom>
    <prenom>Koen</prenom>
    <initiale>K.</initiale>
    <sexe>M</sexe>
    <civilite>M.</civilite>
    <code>LEA</code>
  </president_juridiction>
  <juges>
    <juge>
      <nom>Bay Larsen</nom>
      <prenom>Lars</prenom>
      <initiale>L.</initiale>
      <sexe>M</sexe>
      <civilite>M.</civilite>
      <fonction>koja esimees</fonction>
    </juge>
    <juge>
      <nom>Vilaras</nom>
      <prenom>M.</prenom>
      <initiale>M.</initiale>
      <sexe>M</sexe>
      <civilite>M.</civilite>
      <fonction>(ettekandja)</fonction>
    </juge>
    <juge>
      <nom>Malenovský</nom>
      <prenom>Jiří</prenom>
      <initiale>J.</initiale>
      <sexe>M</sexe>
      <civilite>M.</civilite>
      <fonction/>
    </juge>
    <juge>
      <nom>Safjan</nom>
      <prenom>Marek</prenom>
      <initiale>M.</initiale>
      <sexe>M</sexe>
      <civilite>M.</civilite>
      <fonction/>
    </juge>
    <juge>
      <nom>Šváby</nom>
      <prenom>Daniel</prenom>
      <initiale>D.</initiale>
      <sexe>M</sexe>
      <civilite>M.</civilite>
      <fonction/>
    </juge>
    <composition>\\###NON_BREAKING_SPACE###L.###NON_BREAKING_SPACE###Bay Larsen, koja esimees, MM.###NON_BREAKING_SPACE###M.###NON_BREAKING_SPACE###Vilaras (ettekandja), J.###NON_BREAKING_SPACE###Malenovský, M.###NON_BREAKING_SPACE###Safjan ja D.###NON_BREAKING_SPACE###Šváby, kohtunikud</composition>
    <president>
      <nom>Bay Larsen</nom>
      <prenom>Lars</prenom>
      <initiale>L.</initiale>
      <sexe>M</sexe>
      <civilite>M.</civilite>
      <code>BAY</code>
    </president>
    <presidentFF/>
    <agg_juges>\\###NON_BREAKING_SPACE###L.###NON_BREAKING_SPACE###Bay Larsen, koja esimees, MM.###NON_BREAKING_SPACE###M.###NON_BREAKING_SPACE###Vilaras (ettekandja), J.###NON_BREAKING_SPACE###Malenovský, M.###NON_BREAKING_SPACE###Safjan ja D.###NON_BREAKING_SPACE###Šváby, kohtunikud</agg_juges>
    <agg_juges_count>5</agg_juges_count>
    <agg_juges_president/>
    <agg_juges_president_count>0</agg_juges_president_count>
    <agg_juges_sign>
      <agg_juge_sign>Bay###NON_BREAKING_SPACE###Larsen</agg_juge_sign>
      <agg_juge_sign>Vilaras</agg_juge_sign>
      <agg_juge_sign>Malenovský</agg_juge_sign>
      <agg_juge_sign>Safjan</agg_juge_sign>
      <agg_juge_sign>Šváby</agg_juge_sign>
    </agg_juges_sign>
    <agg_president_nom>M.###NON_BREAKING_SPACE###L.###NON_BREAKING_SPACE###Bay###NON_BREAKING_SPACE###Larsen</agg_president_nom>
    <agg_president_signataire>L.###NON_BREAKING_SPACE###Bay###NON_BREAKING_SPACE###Larsen</agg_president_signataire>
    <agg_president_faisant_fonction_nom/>
    <agg_president_faisant_fonction_signataire/>
    <agg_president_faisant_fonction_chambre/>
    <agg_president2_juridiction_nom>K.###NON_BREAKING_SPACE###Lenaerts</agg_president2_juridiction_nom>
    <agg_president2_meme_chambre_nom/>
    <agg_president2_faisant_fonction_nom/>
    <agg_president2_faisant_fonction_chambre/>
    <agg_composition>
      <agg_composition_juges>\\###NON_BREAKING_SPACE###L.###NON_BREAKING_SPACE###Bay Larsen, koja esimees, MM.###NON_BREAKING_SPACE###M.###NON_BREAKING_SPACE###Vilaras (ettekandja), J.###NON_BREAKING_SPACE###Malenovský, M.###NON_BREAKING_SPACE###Safjan ja D.###NON_BREAKING_SPACE###Šváby, kohtunikud,</agg_composition_juges>
    </agg_composition>
    <agg_juge_rapporteur/>
    <agg_juge_rapporteur_Civilite/>
  </juges>
  <avgen>
    <premier_avg>O</premier_avg>
    <nom>Wahl</nom>
    <prenom>Nils</prenom>
    <initiale>N.</initiale>
    <sexe>M</sexe>
    <civilite>M.</civilite>
    <code>WAH</code>
    <agg_avgen_civilite/>
    <agg_avgen_nom>Nils Wahl</agg_avgen_nom>
    <agg_avgen_nom_short>N.###NON_BREAKING_SPACE###Wahl</agg_avgen_nom_short>
    <agg_avgen_nom_uppercase>NILS WAHL</agg_avgen_nom_uppercase>
    <agg_avgen_nom_short_uppercase>WAHL</agg_avgen_nom_short_uppercase>
  </avgen>
  <greffiers>
    <greffier type="present">
      <nom>Schiano</nom>
      <prenom>Roberto</prenom>
      <initiale>R.</initiale>
      <sexe>M</sexe>
      <civilite>M</civilite>
      <code>RSO</code>
      <fonction>Administrateur</fonction>
      <code_fonction>ADM</code_fonction>
    </greffier>
    <greffier type="signataire">
      <nom>Calot Escobar</nom>
      <prenom>Alfredo</prenom>
      <initiale>A.</initiale>
      <sexe>M</sexe>
      <civilite>M.</civilite>
      <code>ACE</code>
    </greffier>
    <agg_greffier_present>M###NON_BREAKING_SPACE###R.###NON_BREAKING_SPACE###Schiano</agg_greffier_present>
    <agg_greffier_signataire_present>M.###NON_BREAKING_SPACE###A.###NON_BREAKING_SPACE###Calot Escobar</agg_greffier_signataire_present>
    <agg_greffier_signataire>M.###NON_BREAKING_SPACE###A.###NON_BREAKING_SPACE###Calot Escobar</agg_greffier_signataire>
    <agg_greffier_signataire_present_signature>A.###NON_BREAKING_SPACE###Calot###NON_BREAKING_SPACE###Escobar</agg_greffier_signataire_present_signature>
    <agg_greffier_signataire_signature>A.###NON_BREAKING_SPACE###Calot###NON_BREAKING_SPACE###Escobar</agg_greffier_signataire_signature>
    <agg_greffier_present_initial>R.###NON_BREAKING_SPACE###Schiano</agg_greffier_present_initial>
  </greffiers>
  <observations>
    <observation>
      <parties>
        <partie>
          <partie_id>69785</partie_id>
          <nom_developpe>Camfin SpA</nom_developpe>
          <libelle_type>Personnes physique ou morale</libelle_type>
        </partie>
      </parties>
      <representants>
        <representant>
          <nom>Perego</nom>
          <prenom>Isabella</prenom>
          <initiale>I.</initiale>
          <sexe>F</sexe>
          <civilite>Me</civilite>
          <pays>Belgique</pays>
          <ville>Bruxelles</ville>
          <qualite>AVF</qualite>
          <fonction>REP</fonction>
          <domicile>O</domicile>
          <titre_original>avvocatessa</titre_original>
          <titre>avocate</titre>
          <debut_mandat>09/08/2016</debut_mandat>
        </representant>
        <representant>
          <nom>Roberti</nom>
          <prenom>Gian Michele</prenom>
          <initiale>G. M.</initiale>
          <sexe>M</sexe>
          <civilite>Me</civilite>
          <pays>Belgique</pays>
          <ville>Bruxelles</ville>
          <qualite>AV</qualite>
          <fonction>REP</fonction>
          <domicile>O</domicile>
          <titre_original>avvocato</titre_original>
          <titre>avocat</titre>
          <debut_mandat>09/08/2016</debut_mandat>
        </representant>
        <representant>
          <nom>Zoppini</nom>
          <prenom>Andrea</prenom>
          <initiale>A.</initiale>
          <sexe>M</sexe>
          <civilite>M.</civilite>
          <pays>Italie</pays>
          <ville>Roma</ville>
          <qualite>AV</qualite>
          <fonction>REP</fonction>
          <domicile>O</domicile>
          <titre_original>avvocato</titre_original>
          <titre>avocat</titre>
          <debut_mandat>13/04/2016</debut_mandat>
        </representant>
      </representants>
    </observation>
    <observation>
      <parties>
        <partie>
          <partie_id>36899</partie_id>
          <nom_developpe>Commissione Nazionale per le Società e la Borsa (Consob)</nom_developpe>
          <libelle_type>Entité publique</libelle_type>
        </partie>
      </parties>
      <representants>
        <representant>
          <nom>Providenti</nom>
          <prenom>Salvatore</prenom>
          <initiale>S.</initiale>
          <sexe>M</sexe>
          <civilite>M.</civilite>
          <pays>Italie</pays>
          <ville>Roma</ville>
          <qualite>AV</qualite>
          <fonction>REP</fonction>
          <domicile>O</domicile>
          <titre_original>avvocato</titre_original>
          <titre>avocat</titre>
          <debut_mandat>13/04/2016</debut_mandat>
        </representant>
        <representant>
          <nom>Lopatriello</nom>
          <prenom>Stefania</prenom>
          <initiale>S.</initiale>
          <sexe>F</sexe>
          <civilite>Mme</civilite>
          <pays>Italie</pays>
          <ville>Roma</ville>
          <qualite>AVF</qualite>
          <fonction>REP</fonction>
          <domicile>O</domicile>
          <titre_original>avvocatessa</titre_original>
          <titre>avocate</titre>
          <debut_mandat>13/04/2016</debut_mandat>
        </representant>
        <representant>
          <nom>Randisi</nom>
          <prenom>Gianfranco</prenom>
          <initiale>G.</initiale>
          <sexe>M</sexe>
          <civilite>M.</civilite>
          <pays>Italie</pays>
          <ville>Roma</ville>
          <qualite>AV</qualite>
          <fonction>REP</fonction>
          <domicile>O</domicile>
          <titre_original>avvocato</titre_original>
          <titre>avocat</titre>
          <debut_mandat>13/04/2016</debut_mandat>
        </representant>
        <representant>
          <nom>Atripaldi</nom>
          <prenom>Alessandra</prenom>
          <initiale>A.</initiale>
          <sexe>F</sexe>
          <civilite>Mme</civilite>
          <pays>Italie</pays>
          <ville>Roma</ville>
          <qualite>AVF</qualite>
          <fonction>REP</fonction>
          <domicile>O</domicile>
          <titre_original>avvocatessa</titre_original>
          <titre>avocate</titre>
          <debut_mandat>13/04/2016</debut_mandat>
        </representant>
      </representants>
    </observation>
    <observation>
      <parties>
        <partie>
          <partie_id>69785</partie_id>
          <nom_developpe>Camfin SpA</nom_developpe>
          <libelle_type>Personnes physique ou morale</libelle_type>
        </partie>
      </parties>
      <representants>
        <representant>
          <nom>Perego</nom>
          <prenom>Isabella</prenom>
          <initiale>I.</initiale>
          <sexe>F</sexe>
          <civilite>Me</civilite>
          <pays>Belgique</pays>
          <ville>Bruxelles</ville>
          <qualite>AVF</qualite>
          <fonction>REP</fonction>
          <domicile>O</domicile>
          <titre_original>avvocatessa</titre_original>
          <titre>avocate</titre>
          <debut_mandat>09/08/2016</debut_mandat>
        </representant>
        <representant>
          <nom>Roberti</nom>
          <prenom>Gian Michele</prenom>
          <initiale>G. M.</initiale>
          <sexe>M</sexe>
          <civilite>Me</civilite>
          <pays>Belgique</pays>
          <ville>Bruxelles</ville>
          <qualite>AV</qualite>
          <fonction>REP</fonction>
          <domicile>O</domicile>
          <titre_original>avvocato</titre_original>
          <titre>avocat</titre>
          <debut_mandat>09/08/2016</debut_mandat>
        </representant>
        <representant>
          <nom>Zoppini</nom>
          <prenom>Andrea</prenom>
          <initiale>A.</initiale>
          <sexe>M</sexe>
          <civilite>M.</civilite>
          <pays>Belgique</pays>
          <ville>Bruxelles</ville>
          <qualite>AV</qualite>
          <fonction>REP</fonction>
          <domicile>O</domicile>
          <titre_original>avvocato</titre_original>
          <titre>avocat</titre>
          <debut_mandat>13/04/2016</debut_mandat>
        </representant>
      </representants>
    </observation>
    <observation>
      <parties>
        <partie>
          <partie_id>8424</partie_id>
          <nom_developpe>République italienne</nom_developpe>
          <libelle_type>Etat membre</libelle_type>
        </partie>
      </parties>
      <representants>
        <representant>
          <nom>Gentili</nom>
          <prenom>Paolo</prenom>
          <initiale>P.</initiale>
          <sexe>M</sexe>
          <civilite>M.</civilite>
          <pays>Italie</pays>
          <ville/>
          <qualite>AVS</qualite>
          <fonction>REP</fonction>
          <domicile>N</domicile>
          <titre_original>avvocato dello Stato</titre_original>
          <titre>Avvocato dello Stato</titre>
          <debut_mandat>04/08/2016</debut_mandat>
        </representant>
        <representant>
          <nom>Fiorentino</nom>
          <prenom>Sergio</prenom>
          <initiale>S.</initiale>
          <sexe>M</sexe>
          <civilite>M.</civilite>
          <pays>Italie</pays>
          <ville/>
          <qualite>AVS</qualite>
          <fonction>REP</fonction>
          <domicile>O</domicile>
          <titre_original>avvocato dello Stato</titre_original>
          <titre>avvocato dello Stato</titre>
          <debut_mandat>21/12/2016</debut_mandat>
        </representant>
        <representant>
          <nom>Palmieri</nom>
          <prenom>Gabriella</prenom>
          <initiale>G.</initiale>
          <sexe>F</sexe>
          <civilite>Mme</civilite>
          <pays/>
          <ville/>
          <qualite>AVS</qualite>
          <fonction>REP</fonction>
          <domicile>N</domicile>
          <titre_original>avvocato dello Stato</titre_original>
          <titre>avvocato dello Stato</titre>
          <debut_mandat>04/08/2016</debut_mandat>
        </representant>
      </representants>
    </observation>
    <observation>
      <parties>
        <partie>
          <partie_id>8408</partie_id>
          <nom_developpe>Commission européenne</nom_developpe>
          <libelle_type>Institutions comm.</libelle_type>
        </partie>
      </parties>
      <representants>
        <representant>
          <nom>Di Bucci</nom>
          <prenom>Vittorio</prenom>
          <initiale>V.</initiale>
          <sexe>M</sexe>
          <civilite>M.</civilite>
          <pays>Belgique</pays>
          <ville>Bruxelles</ville>
          <qualite>MSJ</qualite>
          <fonction>REP</fonction>
          <domicile>O</domicile>
          <titre_original>Membre du service juridique</titre_original>
          <titre/>
          <debut_mandat>03/08/2016</debut_mandat>
        </representant>
        <representant>
          <nom>Støvlbæk</nom>
          <prenom>Hans</prenom>
          <initiale>H.</initiale>
          <sexe>M</sexe>
          <civilite>M.</civilite>
          <pays>Belgique</pays>
          <ville>Bruxelles</ville>
          <qualite>MSJ</qualite>
          <fonction>REP</fonction>
          <domicile>O</domicile>
          <titre_original>Membre du service juridique</titre_original>
          <titre/>
          <debut_mandat>03/08/2016</debut_mandat>
        </representant>
      </representants>
    </observation>
    <agg_observation_parties_count>5</agg_observation_parties_count>
    <partie>
      <agg_observation_partie>Camfin SpA</agg_observation_partie>
      <agg_observation_partie_representants> M.###NON_BREAKING_SPACE###A.###NON_BREAKING_SPACE###Zoppini, avvocatoMe###NON_BREAKING_SPACE###I.###NON_BREAKING_SPACE###Perego, avvocatessa ainsi que Me###NON_BREAKING_SPACE###G. M.###NON_BREAKING_SPACE###Roberti, avvocato ja M.###NON_BREAKING_SPACE###Zoppini,</agg_observation_partie_representants>
      <agg_observation_partie_representants_mandats> M.###NON_BREAKING_SPACE###A.###NON_BREAKING_SPACE###Zoppini, avvocatoMe###NON_BREAKING_SPACE###I.###NON_BREAKING_SPACE###Perego, avvocatessa ainsi que Me###NON_BREAKING_SPACE###G. M.###NON_BREAKING_SPACE###Roberti, avvocato ja M.###NON_BREAKING_SPACE###Zoppini,</agg_observation_partie_representants_mandats>
    </partie>
    <partie>
      <agg_observation_partie>Commissione Nazionale per le Società e la Borsa (Consob)</agg_observation_partie>
      <agg_observation_partie_representants>  ###NON_BREAKING_SPACE###S.###NON_BREAKING_SPACE###Providenti, avvocato ja G.###NON_BREAKING_SPACE###Randisi, avvocato ainsi que ###NON_BREAKING_SPACE###S.###NON_BREAKING_SPACE###Lopatriello, avvocatessa ja A.###NON_BREAKING_SPACE###Atripaldi, avvocatessa,</agg_observation_partie_representants>
      <agg_observation_partie_representants_mandats>  ###NON_BREAKING_SPACE###S.###NON_BREAKING_SPACE###Providenti, avvocato ja G.###NON_BREAKING_SPACE###Randisi, avvocato ainsi que ###NON_BREAKING_SPACE###S.###NON_BREAKING_SPACE###Lopatriello, avvocatessa ja A.###NON_BREAKING_SPACE###Atripaldi, avvocatessa,</agg_observation_partie_representants_mandats>
    </partie>
    <partie>
      <agg_observation_partie>Camfin SpA</agg_observation_partie>
      <agg_observation_partie_representants> M.###NON_BREAKING_SPACE###A.###NON_BREAKING_SPACE###Zoppini, avvocatoMe###NON_BREAKING_SPACE###I.###NON_BREAKING_SPACE###Perego, avvocatessa ainsi que Me###NON_BREAKING_SPACE###G. M.###NON_BREAKING_SPACE###Roberti, avvocato ja M.###NON_BREAKING_SPACE###Zoppini,</agg_observation_partie_representants>
      <agg_observation_partie_representants_mandats> M.###NON_BREAKING_SPACE###A.###NON_BREAKING_SPACE###Zoppini, avvocatoMe###NON_BREAKING_SPACE###I.###NON_BREAKING_SPACE###Perego, avvocatessa ainsi que Me###NON_BREAKING_SPACE###G. M.###NON_BREAKING_SPACE###Roberti, avvocato ja M.###NON_BREAKING_SPACE###Zoppini,</agg_observation_partie_representants_mandats>
    </partie>
    <partie>
      <agg_observation_partie>République italienne</agg_observation_partie>
      <agg_observation_partie_representants> M.###NON_BREAKING_SPACE###P.###NON_BREAKING_SPACE###Gentili ainsi que Mme###NON_BREAKING_SPACE###G.###NON_BREAKING_SPACE###Palmieri, ###NON_BREAKING_SPACE###Gentili ja S.###NON_BREAKING_SPACE###Fiorentino ainsi que Mme###NON_BREAKING_SPACE###Palmieri, ,</agg_observation_partie_representants>
      <agg_observation_partie_representants_mandats> M.###NON_BREAKING_SPACE###P.###NON_BREAKING_SPACE###Gentili ainsi que Mme###NON_BREAKING_SPACE###G.###NON_BREAKING_SPACE###Palmieri, ###NON_BREAKING_SPACE###Gentili ja S.###NON_BREAKING_SPACE###Fiorentino ainsi que Mme###NON_BREAKING_SPACE###Palmieri, ,</agg_observation_partie_representants_mandats>
    </partie>
    <partie>
      <agg_observation_partie>Commission européenne</agg_observation_partie>
      <agg_observation_partie_representants>  ###NON_BREAKING_SPACE###V.###NON_BREAKING_SPACE###Di Bucci ja H.###NON_BREAKING_SPACE###Støvlbæk, ,</agg_observation_partie_representants>
      <agg_observation_partie_representants_mandats>  ###NON_BREAKING_SPACE###V.###NON_BREAKING_SPACE###Di Bucci ja H.###NON_BREAKING_SPACE###Støvlbæk, ,</agg_observation_partie_representants_mandats>
    </partie>
  </observations>
  <affaires>
    <affaire id="pilote" nature="RP">
      <num_aff>C###TIRET_INSECABLE###206/16</num_aff>
      <nom_usuel>Marco Tronchetti Provera e.a.</nom_usuel>
      <nature_procedure_nationale code=""/>
      <objet/>
      <mots_cle>Demande de décision préjudicielle – Consiglio di Stato – Interprétation de l’art. 5, par. 4, alinéa 2, de la directive 2004/25/CE – Liberté d’établissement – Droit des sociétés – Protection des actionnaires – Réglementation nationale prévoyant la possibilité pour l’autorité de contrôle d’augmenter l’offre publique d’acquisition en cas de collusion entre l’offrant et le vendeur</mots_cle>
      <complement_mots_cle>Renvoi préjudiciel - ###MotCle###</complement_mots_cle>
      <fondement>
        <institution>TFUE</institution>
        <article>267</article>
      </fondement>
      <depot>
        <act_id>8221</act_id>
        <juridiction>Consiglio di Stato</juridiction>
        <pays_code>I</pays_code>
        <pays>Itaalia</pays>
        <date_renvoi>10/11/2015</date_renvoi>
        <affaire_penale>N</affaire_penale>
      </depot>
      <depotOriginal>
        <typeDepotOriginal/>
        <date annee="2016" jour="13" mois="04" type="dateDepotOriginal"/>
      </depotOriginal>
      <observation_ecrite>1</observation_ecrite>
      <audience_plaidoirie_prevue>1</audience_plaidoirie_prevue>
      <conclusion_prevue>1</conclusion_prevue>
      <depotRequete>
        <date annee="2016" jour="13" mois="04" type="dateDepotRequete"/>
        <agg_depotRequete_date>13-04-2016</agg_depotRequete_date>
      </depotRequete>
      <procedure_ecrite>
        <piece type="DEL_MEMOBS">
          <libelle>Fix. délai pour mémoire ou observations écrites</libelle>
          <partie id="36899" qualite="">Consob</partie>
          <auteurs>
            <auteur/>
          </auteurs>
          <numero_pieceDossier/>
          <depots>
            <date annee="2016" jour="02" mois="08" type="memoire"/>
          </depots>
        </piece>
        <piece type="DEL_MEMOBS">
          <libelle>Fix. délai pour mémoire ou observations écrites</libelle>
          <partie id="8408" qualite="">Commission</partie>
          <auteurs>
            <auteur>Ernest Ley</auteur>
          </auteurs>
          <numero_pieceDossier/>
          <depots>
            <date annee="2016" jour="03" mois="08" type="memoire"/>
          </depots>
        </piece>
        <piece type="DEL_MEMOBS">
          <libelle>Fix. délai pour mémoire ou observations écrites</libelle>
          <partie id="8424" qualite="">Italie</partie>
          <auteurs>
            <auteur>Commission de la CEE</auteur>
          </auteurs>
          <numero_pieceDossier/>
          <depots>
            <date annee="2016" jour="04" mois="08" type="memoire"/>
          </depots>
        </piece>
        <piece type="DEL_MEMOBS">
          <libelle>Fix. délai pour mémoire ou observations écrites</libelle>
          <partie id="69785" qualite="">Camfin</partie>
          <auteurs>
            <auteur/>
          </auteurs>
          <numero_pieceDossier/>
          <depots>
            <date annee="2016" jour="09" mois="08" type="memoire"/>
          </depots>
        </piece>
        <piece type="DEL_MEMOBS">
          <libelle>Fix. délai pour mémoire ou observations écrites</libelle>
          <partie id="69785" qualite="">Camfin</partie>
          <auteurs>
            <auteur/>
          </auteurs>
          <numero_pieceDossier/>
          <depots>
            <date annee="2016" jour="09" mois="08" type="memoire"/>
          </depots>
        </piece>
      </procedure_ecrite>
      <parties>
        <requerantes>
          <requerante>
            <parties>
              <partie>
                <id>69779</id>
                <nom_developpe>Marco Tronchetti Provera SpA</nom_developpe>
                <nom_simple>MARCO TRONCHETTI PROVERA</nom_simple>
                <pays>Italie</pays>
                <ville/>
                <type>PE</type>
                <tri>40</tri>
              </partie>
            </parties>
            <representants>
              <representant>
                <nom>Clarizia</nom>
                <prenom1>Angelo</prenom1>
                <prenom2/>
                <prenom3/>
                <prenom4/>
                <prenom5/>
                <initiale>A.</initiale>
                <sexe>M</sexe>
                <civilite>Me</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Marco Tronchetti Provera SpA</agg_partie_nom>
                <agg_partie_countrycity/>
                <agg_partie_countrycity_annexe/>
                <agg_type>PE</agg_type>
                <agg_tri>40</agg_tri>
              </agg_partie>
            </agg_parties>
            <agg_partie_representants>  Me###NON_BREAKING_SPACE###A.###NON_BREAKING_SPACE###Clarizia, avvocato,</agg_partie_representants>
            <agg_partie_representants_mandat>  Me###NON_BREAKING_SPACE###A.###NON_BREAKING_SPACE###Clarizia, avvocato,</agg_partie_representants_mandat>
            <agg_partie_representants_mandat_count>1</agg_partie_representants_mandat_count>
            <agg_partie_qualite>PRIN</agg_partie_qualite>
          </requerante>
          <requerante>
            <parties>
              <partie>
                <id>69780</id>
                <nom_developpe>Antares European Fund Limited</nom_developpe>
                <nom_simple>ANTARES EUROPEAN FUND</nom_simple>
                <pays>Italie</pays>
                <ville/>
                <type>PE</type>
                <tri>40</tri>
              </partie>
              <partie>
                <id>69781</id>
                <nom_developpe>Antares European Fund II Limited</nom_developpe>
                <nom_simple>ANTARES EUROPEAN FUND II</nom_simple>
                <pays>Pays inconnu</pays>
                <ville/>
                <type>PE</type>
                <tri/>
              </partie>
              <partie>
                <id>69782</id>
                <nom_developpe>Antares European Fund LP</nom_developpe>
                <nom_simple>ANTARES EUROPEAN FUND LP</nom_simple>
                <pays>Pays inconnu</pays>
                <ville/>
                <type>PE</type>
                <tri/>
              </partie>
              <partie>
                <id>69783</id>
                <nom_developpe>Luca Orsini Baroni</nom_developpe>
                <nom_simple>ORSINI BARONI</nom_simple>
                <pays>Italie</pays>
                <ville/>
                <type>PE</type>
                <tri>40</tri>
              </partie>
            </parties>
            <representants>
              <representant>
                <nom>Auricchio</nom>
                <prenom1>Antonio</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Alfarano</nom>
                <prenom1>Gaetano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Aiello</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Grippo</nom>
                <prenom1>Emmanuele</prenom1>
                <prenom2/>
                <prenom3/>
                <prenom4/>
                <prenom5/>
                <initiale>E.</initiale>
                <sexe>M</sexe>
                <civilite>M.</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Antares European Fund Limited</agg_partie_nom>
                <agg_partie_countrycity/>
                <agg_partie_countrycity_annexe/>
                <agg_type>PE</agg_type>
                <agg_tri>40</agg_tri>
              </agg_partie>
              <agg_partie>
                <agg_partie_nom>Antares European Fund II Limited</agg_partie_nom>
                <agg_partie_countrycity/>
                <agg_partie_countrycity_annexe/>
                <agg_type>PE</agg_type>
                <agg_tri/>
              </agg_partie>
              <agg_partie>
                <agg_partie_nom>Antares European Fund LP</agg_partie_nom>
                <agg_partie_countrycity/>
                <agg_partie_countrycity_annexe/>
                <agg_type>PE</agg_type>
                <agg_tri/>
              </agg_partie>
              <agg_partie>
                <agg_partie_nom>Luca Orsini Baroni</agg_partie_nom>
                <agg_partie_countrycity/>
                <agg_partie_countrycity_annexe/>
                <agg_type>PE</agg_type>
                <agg_tri>40</agg_tri>
              </agg_partie>
            </agg_parties>
            <agg_partie_representants>  ###NON_BREAKING_SPACE###A.###NON_BREAKING_SPACE###Auricchio, avvocato, G.###NON_BREAKING_SPACE###Alfarano, avvocato, A.###NON_BREAKING_SPACE###Aiello, avvocato ja E.###NON_BREAKING_SPACE###Grippo, avvocato,</agg_partie_representants>
            <agg_partie_representants_mandat>  ###NON_BREAKING_SPACE###A.###NON_BREAKING_SPACE###Auricchio, avvocato, G.###NON_BREAKING_SPACE###Alfarano, avvocato, A.###NON_BREAKING_SPACE###Aiello, avvocato ja E.###NON_BREAKING_SPACE###Grippo, avvocato,</agg_partie_representants_mandat>
            <agg_partie_representants_mandat_count>1</agg_partie_representants_mandat_count>
            <agg_partie_qualite>PRIN</agg_partie_qualite>
          </requerante>
          <requerante>
            <parties>
              <partie>
                <id>51372</id>
                <nom_developpe>UniCredit SpA</nom_developpe>
                <nom_simple>UNICREDIT</nom_simple>
                <pays>Italie</pays>
                <ville>Roma</ville>
                <type>PE</type>
                <tri>40</tri>
              </partie>
            </parties>
            <representants>
              <representant>
                <nom>Napolitano</nom>
                <prenom1>Giulio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Gatti</nom>
                <prenom1>Francesco</prenom1>
                <prenom2/>
                <prenom3/>
                <prenom4/>
                <prenom5/>
                <initiale>F.</initiale>
                <sexe>M</sexe>
                <civilite>Me</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UniCredit SpA</agg_partie_nom>
                <agg_partie_countrycity>Roma Italie, </agg_partie_countrycity>
                <agg_partie_countrycity_annexe>Roma Italie. </agg_partie_countrycity_annexe>
                <agg_type>PE</agg_type>
                <agg_tri>40</agg_tri>
              </agg_partie>
            </agg_parties>
            <agg_partie_representants>  M.###NON_BREAKING_SPACE###G.###NON_BREAKING_SPACE###Napolitano, avvocato ja Me###NON_BREAKING_SPACE###F.###NON_BREAKING_SPACE###Gatti, avvocato,</agg_partie_representants>
            <agg_partie_representants_mandat>  M.###NON_BREAKING_SPACE###G.###NON_BREAKING_SPACE###Napolitano, avvocato ja Me###NON_BREAKING_SPACE###F.###NON_BREAKING_SPACE###Gatti, avvocato,</agg_partie_representants_mandat>
            <agg_partie_representants_mandat_count>1</agg_partie_representants_mandat_count>
            <agg_partie_qualite>PRIN</agg_partie_qualite>
          </requerante>
          <requerante>
            <parties>
              <partie>
                <id>69785</id>
                <nom_developpe>Camfin SpA</nom_developpe>
                <nom_simple>CAMFIN</nom_simple>
                <pays>Italie</pays>
                <ville/>
                <type>PE</type>
                <tri>40</tri>
              </partie>
            </parties>
            <representants>
              <representant>
                <nom>Zoppini</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Roberti</nom>
                <prenom1>Gian Michele</prenom1>
                <prenom2/>
                <prenom3/>
                <prenom4/>
                <prenom5/>
                <initiale>G. M.</initiale>
                <sexe>M</sexe>
                <civilite>Me</civilite>
                <qualite>AV</qualite>
                <fonction>REP</fonction>
                <domicile>O</domicile>
                <titre_original>avvocato</titre_original>
                <titre>avocat</titre>
                <date_debut_mandat>09/08/2016</date_debut_mandat>
                <date_fin_mandat/>
              </representant>
              <representant>
                <nom>Perego</nom>
                <prenom1>Isabella</prenom1>
                <prenom2/>
                <prenom3/>
                <prenom4/>
                <prenom5/>
                <initiale>I.</initiale>
                <sexe>F</sexe>
                <civilite>Me</civilite>
                <qualite>AV</qualite>
                <fonction>REP</fonction>
                <domicile>O</domicile>
                <titre_original>avvocatessa</titre_original>
                <titre>avocate</titre>
                <date_debut_mandat>09/08/2016</date_debut_mandat>
                <date_fin_mandat/>
              </representant>
            </representants>
            <qualite_secondaire>au principal</qualite_secondaire>
            <qualite_secondaire_code>PRIN</qualite_secondaire_code>
            <agg_parties>
              <agg_partie>
                <agg_partie_nom>Camfin SpA</agg_partie_nom>
                <agg_partie_countrycity/>
                <agg_partie_countrycity_annexe/>
                <agg_type>PE</agg_type>
                <agg_tri>40</agg_tri>
              </agg_partie>
            </agg_parties>
            <agg_partie_representants>  M.###NON_BREAKING_SPACE###A.###NON_BREAKING_SPACE###Zoppini, avvocato ja Me###NON_BREAKING_SPACE###G. M.###NON_BREAKING_SPACE###Roberti, avvocato ainsi que Me###NON_BREAKING_SPACE###I.###NON_BREAKING_SPACE###Perego, avvocatessa,</agg_partie_representants>
            <agg_partie_representants_mandat>  M.###NON_BREAKING_SPACE###A.###NON_BREAKING_SPACE###Zoppini, avvocato ja Me###NON_BREAKING_SPACE###G. M.###NON_BREAKING_SPACE###Roberti, avvocato ainsi que Me###NON_BREAKING_SPACE###I.###NON_BREAKING_SPACE###Perego, avvocatessa,</agg_partie_representants_mandat>
            <agg_partie_representants_mandat_count>1</agg_partie_representants_mandat_count>
            <agg_partie_qualite>PRIN</agg_partie_qualite>
          </requerante>
          <agg_annexe>0</agg_annexe>
          <agg_partie_Display_Affaire_Jointe>0</agg_partie_Display_Affaire_Jointe>
        </requerantes>
        <defenderesses>
          <defenderesse>
            <parties>
              <partie>
                <id>36899</id>
                <nom_developpe>Commissione Nazionale per le Società e la Borsa (Consob)</nom_developpe>
                <nom_simple>CONSOB</nom_simple>
                <pays>Italie</pays>
                <ville/>
                <type>EP</type>
                <tri>40</tri>
              </partie>
            </parties>
            <representants>
              <representant>
                <nom>Randisi</nom>
                <prenom1>Gianfranco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Lopatriello</nom>
                <prenom1>Stefania</prenom1>
                <prenom2/>
                <prenom3/>
                <prenom4/>
                <prenom5/>
                <initiale>S.</initiale>
                <sexe>F</sexe>
                <civilite>Mme</civilite>
                <qualite>AV</qualite>
                <fonction>REP</fonction>
                <domicile>O</domicile>
                <titre_original>avvocatessa</titre_original>
                <titre>avocate</titre>
                <date_debut_mandat>13/04/2016</date_debut_mandat>
                <date_fin_mandat/>
              </representant>
              <representant>
                <nom>Providenti</nom>
                <prenom1>Salvatore</prenom1>
                <prenom2/>
                <prenom3/>
                <prenom4/>
                <prenom5/>
                <initiale>S.</initiale>
                <sexe>M</sexe>
                <civilite>M.</civilite>
                <qualite>AV</qualite>
                <fonction>REP</fonction>
                <domicile>O</domicile>
                <titre_original>avvocato</titre_original>
                <titre>avocat</titre>
                <date_debut_mandat>13/04/2016</date_debut_mandat>
                <date_fin_mandat/>
              </representant>
              <representant>
                <nom>Atripaldi</nom>
                <prenom1>Alessandra</prenom1>
                <prenom2/>
                <prenom3/>
                <prenom4/>
                <prenom5/>
                <initiale>A.</initiale>
                <sexe>F</sexe>
                <civilite>Mme</civilite>
                <qualite>AV</qualite>
                <fonction>REP</fonction>
                <domicile>O</domicile>
                <titre_original>avvocatessa</titre_original>
                <titre>avocate</titre>
                <date_debut_mandat>13/04/2016</date_debut_mandat>
                <date_fin_mandat/>
              </representant>
            </representants>
            <qualite_secondaire>au principal</qualite_secondaire>
            <qualite_secondaire_code>PRIN</qualite_secondaire_code>
            <agg_parties>
              <agg_partie>
                <agg_partie_nom>Commissione Nazionale per le Società e la Borsa (Consob)</agg_partie_nom>
                <agg_partie_countrycity/>
                <agg_partie_countrycity_annexe/>
                <agg_type>EP</agg_type>
                <agg_tri>40</agg_tri>
              </agg_partie>
            </agg_parties>
            <agg_partie_representants>  ###NON_BREAKING_SPACE###G.###NON_BREAKING_SPACE###Randisi, avvocato ja S.###NON_BREAKING_SPACE###Providenti, avvocato ainsi que ###NON_BREAKING_SPACE###S.###NON_BREAKING_SPACE###Lopatriello, avvocatessa ja A.###NON_BREAKING_SPACE###Atripaldi, avvocatessa,</agg_partie_representants>
            <agg_partie_representants_mandat>  ###NON_BREAKING_SPACE###G.###NON_BREAKING_SPACE###Randisi, avvocato ja S.###NON_BREAKING_SPACE###Providenti, avvocato ainsi que ###NON_BREAKING_SPACE###S.###NON_BREAKING_SPACE###Lopatriello, avvocatessa ja A.###NON_BREAKING_SPACE###Atripaldi, avvocatessa,</agg_partie_representants_mandat>
            <agg_partie_representants_mandat_count>1</agg_partie_representants_mandat_count>
            <agg_partie_qualite>PRIN</agg_partie_qualite>
          </defenderesse>
          <agg_annexe>0</agg_annexe>
          <agg_partie_Display_Affaire_Jointe>0</agg_partie_Display_Affaire_Jointe>
        </defenderesses>
        <parties_en_cause>
          <partie_en_cause>
            <parties>
              <partie>
                <id>69785</id>
                <nom_developpe>Camfin SpA</nom_developpe>
                <nom_simple>CAMFIN</nom_simple>
                <pays>Italie</pays>
                <ville/>
                <type>PE</type>
                <tri>40</tri>
              </partie>
            </parties>
            <representants>
              <representant>
                <nom>Zoppini</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Roberti</nom>
                <prenom1>Gian Michele</prenom1>
                <prenom2/>
                <prenom3/>
                <prenom4/>
                <prenom5/>
                <initiale>G. M.</initiale>
                <sexe>M</sexe>
                <civilite>Me</civilite>
                <qualite>AV</qualite>
                <fonction>REP</fonction>
                <domicile>O</domicile>
                <titre_original>avvocato</titre_original>
                <titre>avocat</titre>
                <date_debut_mandat>09/08/2016</date_debut_mandat>
                <date_fin_mandat/>
              </representant>
              <representant>
                <nom>Perego</nom>
                <prenom1>Isabella</prenom1>
                <prenom2/>
                <prenom3/>
                <prenom4/>
                <prenom5/>
                <initiale>I.</initiale>
                <sexe>F</sexe>
                <civilite>Me</civilite>
                <qualite>AV</qualite>
                <fonction>REP</fonction>
                <domicile>O</domicile>
                <titre_original>avvocatessa</titre_original>
                <titre>avocate</titre>
                <date_debut_mandat>09/08/2016</date_debut_mandat>
                <date_fin_mandat/>
              </representant>
            </representants>
            <qualite_secondaire>au principal</qualite_secondaire>
            <qualite_secondaire_code>PRIN</qualite_secondaire_code>
            <agg_parties>
              <agg_partie>
                <agg_partie_nom>Camfin SpA</agg_partie_nom>
                <agg_partie_countrycity/>
                <agg_partie_countrycity_annexe/>
                <agg_type>PE</agg_type>
                <agg_tri>40</agg_tri>
              </agg_partie>
            </agg_parties>
            <agg_partie_representants>  M.###NON_BREAKING_SPACE###A.###NON_BREAKING_SPACE###Zoppini, avvocato ja Me###NON_BREAKING_SPACE###G. M.###NON_BREAKING_SPACE###Roberti, avvocato ainsi que Me###NON_BREAKING_SPACE###I.###NON_BREAKING_SPACE###Perego, avvocatessa,</agg_partie_representants>
            <agg_partie_representants_mandat>  M.###NON_BREAKING_SPACE###A.###NON_BREAKING_SPACE###Zoppini, avvocato ja Me###NON_BREAKING_SPACE###G. M.###NON_BREAKING_SPACE###Roberti, avvocato ainsi que Me###NON_BREAKING_SPACE###I.###NON_BREAKING_SPACE###Perego, avvocatessa,</agg_partie_representants_mandat>
            <agg_partie_representants_mandat_count>1</agg_partie_representants_mandat_count>
            <agg_partie_qualite>PRIN</agg_partie_qualite>
          </partie_en_cause>
          <partie_en_cause>
            <parties>
              <partie>
                <id>51597</id>
                <nom_developpe>Generali Assicurazioni Generali SpA</nom_developpe>
                <nom_simple>GENERALI ASSICURAZIONI GENERALI</nom_simple>
                <pays>Italie</pays>
                <ville/>
                <type>PE</type>
                <tri>40</tri>
              </partie>
            </parties>
            <representants/>
            <qualite_secondaire>au principal</qualite_secondaire>
            <qualite_secondaire_code>PRIN</qualite_secondaire_code>
            <agg_parties>
              <agg_partie>
                <agg_partie_nom>Generali Assicurazioni Generali SpA</agg_partie_nom>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partie_en_cause>
            <parties>
              <partie>
                <id>69780</id>
                <nom_developpe>Antares European Fund Limited</nom_developpe>
                <nom_simple>ANTARES EUROPEAN FUND</nom_simple>
                <pays>Italie</pays>
                <ville/>
                <type>PE</type>
                <tri>40</tri>
              </partie>
              <partie>
                <id>69781</id>
                <nom_developpe>Antares European Fund II Limited</nom_developpe>
                <nom_simple>ANTARES EUROPEAN FUND II</nom_simple>
                <pays>Pays inconnu</pays>
                <ville/>
                <type>PE</type>
                <tri/>
              </partie>
              <partie>
                <id>69782</id>
                <nom_developpe>Antares European Fund LP</nom_developpe>
                <nom_simple>ANTARES EUROPEAN FUND LP</nom_simple>
                <pays>Pays inconnu</pays>
                <ville/>
                <type>PE</type>
                <tri/>
              </partie>
              <partie>
                <id>69783</id>
                <nom_developpe>Luca Orsini Baroni</nom_developpe>
                <nom_simple>ORSINI BARONI</nom_simple>
                <pays>Italie</pays>
                <ville/>
                <type>PE</type>
                <tri>40</tri>
              </partie>
            </parties>
            <representants>
              <representant>
                <nom>Auricchio</nom>
                <prenom1>Antonio</prenom1>
                <prenom2/>
                <prenom3/>
                <prenom4/>
                <prenom5/>
                <initiale>A.</initiale>
                <sexe>M</sexe>
                <civilite>M.</civilite>
                <qualite>AV</qualite>
                <fonction>REP</fonction>
                <domicile>N</domicile>
                <titre_original>avvocato</titre_original>
                <titre>avocat</titre>
                <date_debut_mandat>13/04/2016</date_debut_mandat>
                <date_fin_mandat/>
              </representant>
              <representant>
                <nom>Alfarano</nom>
                <prenom1>Gaetano</prenom1>
                <prenom2/>
                <prenom3/>
                <prenom4/>
                <prenom5/>
                <initiale>G.</initiale>
                <sexe>M</sexe>
                <civilite>M.</civilite>
                <qualite>AV</qualite>
                <fonction>REP</fonction>
                <domicile>N</domicile>
                <titre_original>avvocato</titre_original>
                <titre>avocat</titre>
                <date_debut_mandat>13/04/2016</date_debut_mandat>
                <date_fin_mandat/>
              </representant>
              <representant>
                <nom>Aiello</nom>
                <prenom1>Andrea</prenom1>
                <prenom2/>
                <prenom3/>
                <prenom4/>
                <prenom5/>
                <initiale>A.</initiale>
                <sexe>M</sexe>
                <civilite>M.</civilite>
                <qualite>AV</qualite>
                <fonction>REP</fonction>
                <domicile>N</domicile>
                <titre_original>avvocato</titre_original>
                <titre>avocat</titre>
                <date_debut_mandat>13/04/2016</date_debut_mandat>
                <date_fin_mandat/>
              </representant>
              <representant>
                <nom>Grippo</nom>
                <prenom1>Emmanuele</prenom1>
                <prenom2/>
                <prenom3/>
                <prenom4/>
                <prenom5/>
                <initiale>E.</initiale>
                <sexe>M</sexe>
                <civilite>M.</civilite>
                <qualite>AV</qualite>
                <fonction>REP</fonction>
                <domicile>N</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Antares European Fund Limited</agg_partie_nom>
                <agg_partie_countrycity/>
                <agg_partie_countrycity_annexe/>
                <agg_type>PE</agg_type>
                <agg_tri>40</agg_tri>
              </agg_partie>
              <agg_partie>
                <agg_partie_nom>Antares European Fund II Limited</agg_partie_nom>
                <agg_partie_countrycity/>
                <agg_partie_countrycity_annexe/>
                <agg_type>PE</agg_type>
                <agg_tri/>
              </agg_partie>
              <agg_partie>
                <agg_partie_nom>Antares European Fund LP</agg_partie_nom>
                <agg_partie_countrycity/>
                <agg_partie_countrycity_annexe/>
                <agg_type>PE</agg_type>
                <agg_tri/>
              </agg_partie>
              <agg_partie>
                <agg_partie_nom>Luca Orsini Baroni</agg_partie_nom>
                <agg_partie_countrycity/>
                <agg_partie_countrycity_annexe/>
                <agg_type>PE</agg_type>
                <agg_tri>40</agg_tri>
              </agg_partie>
            </agg_parties>
            <agg_partie_representants>  ###NON_BREAKING_SPACE###A.###NON_BREAKING_SPACE###Auricchio, avvocato, G.###NON_BREAKING_SPACE###Alfarano, avvocato, A.###NON_BREAKING_SPACE###Aiello, avvocato ja E.###NON_BREAKING_SPACE###Grippo, avvocato,</agg_partie_representants>
            <agg_partie_representants_mandat>  ###NON_BREAKING_SPACE###A.###NON_BREAKING_SPACE###Auricchio, avvocato, G.###NON_BREAKING_SPACE###Alfarano, avvocato, A.###NON_BREAKING_SPACE###Aiello, avvocato ja E.###NON_BREAKING_SPACE###Grippo, avvocato,</agg_partie_representants_mandat>
            <agg_partie_representants_mandat_count>1</agg_partie_representants_mandat_count>
            <agg_partie_qualite>PRIN</agg_partie_qualite>
          </partie_en_cause>
          <partie_en_cause>
            <parties>
              <partie>
                <id>69786</id>
                <nom_developpe>Marco Tronchetti Provera &amp; C. SpA</nom_developpe>
                <nom_simple>MARCO TRONCHETTI PROVERA</nom_simple>
                <pays>Italie</pays>
                <ville/>
                <type>PE</type>
                <tri>40</tri>
              </partie>
            </parties>
            <representants/>
            <qualite_secondaire>au principal</qualite_secondaire>
            <qualite_secondaire_code>PRIN</qualite_secondaire_code>
            <agg_parties>
              <agg_partie>
                <agg_partie_nom>Marco Tronchetti Provera &amp; C. SpA</agg_partie_nom>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partie_en_cause>
            <parties>
              <partie>
                <id>51372</id>
                <nom_developpe>UniCredit SpA</nom_developpe>
                <nom_simple>UNICREDIT</nom_simple>
                <pays>Italie</pays>
                <ville>Roma</ville>
                <type>PE</type>
                <tri>40</tri>
              </partie>
            </parties>
            <representants/>
            <qualite_secondaire>au principal</qualite_secondaire>
            <qualite_secondaire_code>PRIN</qualite_secondaire_code>
            <agg_parties>
              <agg_partie>
                <agg_partie_nom>UniCredit SpA</agg_partie_nom>
                <agg_partie_countrycity>Roma Italie,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agg_annexe>0</agg_annexe>
        </parties_en_cause>
      </parties>
      <agg_motcle>Renvoi préjudiciel – Demande de décision préjudicielle – Consiglio di Stato – Interprétation de l’art. 5, par. 4, alinéa 2, de la directive 2004/25/CE – Liberté d’établissement – Droit des sociétés – Protection des actionnaires – Réglementation nationale prévoyant la possibilité pour l’autorité de contrôle d’augmenter l’offre publique d’acquisition en cas de collusion entre l’offrant et le vendeur</agg_motcle>
      <agg_nom_usuel_uppercase>MARCO TRONCHETTI PROVERA E.A.</agg_nom_usuel_uppercase>
      <agg_fondement>267TFUE</agg_fondement>
    </affaire>
    <agg_group_affaires>
      <agg_display_comma>True</agg_display_comma>
      <agg_group_affaire>
        <agg_numaff_list>C###TIRET_INSECABLE###206/16</agg_numaff_list>
        <agg_juridiction>
          <depot>
            <act_id>8221</act_id>
            <juridiction>Consiglio di Stato</juridiction>
            <pays_code>I</pays_code>
            <pays>Itaalia</pays>
            <date_renvoi>10/11/2015</date_renvoi>
            <affaire_penale>N</affaire_penale>
          </depot>
        </agg_juridiction>
        <agg_group_parties>
          <agg_group_partie>
            <agg_numaff_list>C###TIRET_INSECABLE###206/16</agg_numaff_list>
            <agg_REQ_parties>
              <agg_partie position="1" total="1">
                <agg_nom>Marco Tronchetti Provera SpA</agg_nom>
                <agg_city_country/>
                <agg_type>PE</agg_type>
                <agg_tri>40</agg_tri>
                <agg_numaff_list>C###TIRET_INSECABLE###206/16</agg_numaff_list>
                <agg_qualite_code>PRIN</agg_qualite_code>
                <agg_representants>  Me###NON_BREAKING_SPACE###A.###NON_BREAKING_SPACE###Clarizia, avvocato,</agg_representants>
                <agg_representants_mandat>  Me###NON_BREAKING_SPACE###A.###NON_BREAKING_SPACE###Clarizia, avvocato,</agg_representants_mandat>
              </agg_partie>
              <agg_partie position="1" total="4">
                <agg_nom>Antares European Fund Limited</agg_nom>
                <agg_city_country/>
                <agg_type>PE</agg_type>
                <agg_tri>40</agg_tri>
              </agg_partie>
              <agg_partie position="2" total="4">
                <agg_nom>Antares European Fund II Limited</agg_nom>
                <agg_city_country/>
                <agg_type>PE</agg_type>
                <agg_tri/>
              </agg_partie>
              <agg_partie position="3" total="4">
                <agg_nom>Antares European Fund LP</agg_nom>
                <agg_city_country/>
                <agg_type>PE</agg_type>
                <agg_tri/>
              </agg_partie>
              <agg_partie position="4" total="4">
                <agg_nom>Luca Orsini Baroni</agg_nom>
                <agg_city_country/>
                <agg_type>PE</agg_type>
                <agg_tri>40</agg_tri>
                <agg_numaff_list>C###TIRET_INSECABLE###206/16</agg_numaff_list>
                <agg_qualite_code>PRIN</agg_qualite_code>
                <agg_representants>  ###NON_BREAKING_SPACE###A.###NON_BREAKING_SPACE###Auricchio, avvocato, G.###NON_BREAKING_SPACE###Alfarano, avvocato, A.###NON_BREAKING_SPACE###Aiello, avvocato ja E.###NON_BREAKING_SPACE###Grippo, avvocato,</agg_representants>
                <agg_representants_mandat>  ###NON_BREAKING_SPACE###A.###NON_BREAKING_SPACE###Auricchio, avvocato, G.###NON_BREAKING_SPACE###Alfarano, avvocato, A.###NON_BREAKING_SPACE###Aiello, avvocato ja E.###NON_BREAKING_SPACE###Grippo, avvocato,</agg_representants_mandat>
              </agg_partie>
              <agg_partie position="1" total="1">
                <agg_nom>UniCredit SpA</agg_nom>
                <agg_city_country>Roma Italie, </agg_city_country>
                <agg_type>PE</agg_type>
                <agg_tri>40</agg_tri>
                <agg_numaff_list>C###TIRET_INSECABLE###206/16</agg_numaff_list>
                <agg_qualite_code>PRIN</agg_qualite_code>
                <agg_representants>  M.###NON_BREAKING_SPACE###G.###NON_BREAKING_SPACE###Napolitano, avvocato ja Me###NON_BREAKING_SPACE###F.###NON_BREAKING_SPACE###Gatti, avvocato,</agg_representants>
                <agg_representants_mandat>  M.###NON_BREAKING_SPACE###G.###NON_BREAKING_SPACE###Napolitano, avvocato ja Me###NON_BREAKING_SPACE###F.###NON_BREAKING_SPACE###Gatti, avvocato,</agg_representants_mandat>
              </agg_partie>
              <agg_partie last_partie="1" position="1" total="1">
                <agg_nom>Camfin SpA</agg_nom>
                <agg_city_country/>
                <agg_type>PE</agg_type>
                <agg_tri>40</agg_tri>
                <agg_numaff_list>C###TIRET_INSECABLE###206/16</agg_numaff_list>
                <agg_qualite_code>PRIN</agg_qualite_code>
                <agg_representants>  M.###NON_BREAKING_SPACE###A.###NON_BREAKING_SPACE###Zoppini, avvocato ja Me###NON_BREAKING_SPACE###G. M.###NON_BREAKING_SPACE###Roberti, avvocato ainsi que Me###NON_BREAKING_SPACE###I.###NON_BREAKING_SPACE###Perego, avvocatessa,</agg_representants>
                <agg_representants_mandat>  M.###NON_BREAKING_SPACE###A.###NON_BREAKING_SPACE###Zoppini, avvocato ja Me###NON_BREAKING_SPACE###G. M.###NON_BREAKING_SPACE###Roberti, avvocato ainsi que Me###NON_BREAKING_SPACE###I.###NON_BREAKING_SPACE###Perego, avvocatessa,</agg_representants_mandat>
              </agg_partie>
            </agg_REQ_parties>
            <agg_DEF_parties>
              <agg_partie last_partie="1" position="1" total="1">
                <agg_nom>Commissione Nazionale per le Società e la Borsa (Consob)</agg_nom>
                <agg_city_country/>
                <agg_type>EP</agg_type>
                <agg_tri>40</agg_tri>
                <agg_numaff_list>C###TIRET_INSECABLE###206/16</agg_numaff_list>
                <agg_qualite_code>PRIN</agg_qualite_code>
                <agg_representants>  ###NON_BREAKING_SPACE###G.###NON_BREAKING_SPACE###Randisi, avvocato ja S.###NON_BREAKING_SPACE###Providenti, avvocato ainsi que ###NON_BREAKING_SPACE###S.###NON_BREAKING_SPACE###Lopatriello, avvocatessa ja A.###NON_BREAKING_SPACE###Atripaldi, avvocatessa,</agg_representants>
                <agg_representants_mandat>  ###NON_BREAKING_SPACE###G.###NON_BREAKING_SPACE###Randisi, avvocato ja S.###NON_BREAKING_SPACE###Providenti, avvocato ainsi que ###NON_BREAKING_SPACE###S.###NON_BREAKING_SPACE###Lopatriello, avvocatessa ja A.###NON_BREAKING_SPACE###Atripaldi, avvocatessa,</agg_representants_mandat>
              </agg_partie>
            </agg_DEF_parties>
            <agg_AUTRES_parties/>
            <agg_PEC_parties>
              <agg_partie position="1" total="1">
                <agg_nom>Camfin SpA</agg_nom>
                <agg_city_country/>
                <agg_type>PE</agg_type>
                <agg_tri>40</agg_tri>
                <agg_numaff_list>C###TIRET_INSECABLE###206/16</agg_numaff_list>
                <agg_qualite_code>PRIN</agg_qualite_code>
                <agg_representants>  M.###NON_BREAKING_SPACE###A.###NON_BREAKING_SPACE###Zoppini, avvocato ja Me###NON_BREAKING_SPACE###G. M.###NON_BREAKING_SPACE###Roberti, avvocato ainsi que Me###NON_BREAKING_SPACE###I.###NON_BREAKING_SPACE###Perego, avvocatessa,</agg_representants>
                <agg_representants_mandat>  M.###NON_BREAKING_SPACE###A.###NON_BREAKING_SPACE###Zoppini, avvocato ja Me###NON_BREAKING_SPACE###G. M.###NON_BREAKING_SPACE###Roberti, avvocato ainsi que Me###NON_BREAKING_SPACE###I.###NON_BREAKING_SPACE###Perego, avvocatessa,</agg_representants_mandat>
              </agg_partie>
              <agg_partie position="1" total="1">
                <agg_nom>Generali Assicurazioni Generali SpA</agg_nom>
                <agg_city_country/>
                <agg_type>PE</agg_type>
                <agg_tri>40</agg_tri>
                <agg_numaff_list>C###TIRET_INSECABLE###206/16</agg_numaff_list>
                <agg_qualite_code>PRIN</agg_qualite_code>
                <agg_representants/>
                <agg_representants_mandat/>
              </agg_partie>
              <agg_partie position="1" total="4">
                <agg_nom>Antares European Fund Limited</agg_nom>
                <agg_city_country/>
                <agg_type>PE</agg_type>
                <agg_tri>40</agg_tri>
              </agg_partie>
              <agg_partie position="2" total="4">
                <agg_nom>Antares European Fund II Limited</agg_nom>
                <agg_city_country/>
                <agg_type>PE</agg_type>
                <agg_tri/>
              </agg_partie>
              <agg_partie position="3" total="4">
                <agg_nom>Antares European Fund LP</agg_nom>
                <agg_city_country/>
                <agg_type>PE</agg_type>
                <agg_tri/>
              </agg_partie>
              <agg_partie position="4" total="4">
                <agg_nom>Luca Orsini Baroni</agg_nom>
                <agg_city_country/>
                <agg_type>PE</agg_type>
                <agg_tri>40</agg_tri>
                <agg_numaff_list>C###TIRET_INSECABLE###206/16</agg_numaff_list>
                <agg_qualite_code>PRIN</agg_qualite_code>
                <agg_representants>  ###NON_BREAKING_SPACE###A.###NON_BREAKING_SPACE###Auricchio, avvocato, G.###NON_BREAKING_SPACE###Alfarano, avvocato, A.###NON_BREAKING_SPACE###Aiello, avvocato ja E.###NON_BREAKING_SPACE###Grippo, avvocato,</agg_representants>
                <agg_representants_mandat>  ###NON_BREAKING_SPACE###A.###NON_BREAKING_SPACE###Auricchio, avvocato, G.###NON_BREAKING_SPACE###Alfarano, avvocato, A.###NON_BREAKING_SPACE###Aiello, avvocato ja E.###NON_BREAKING_SPACE###Grippo, avvocato,</agg_representants_mandat>
              </agg_partie>
              <agg_partie position="1" total="1">
                <agg_nom>Marco Tronchetti Provera &amp; C. SpA</agg_nom>
                <agg_city_country/>
                <agg_type>PE</agg_type>
                <agg_tri>40</agg_tri>
                <agg_numaff_list>C###TIRET_INSECABLE###206/16</agg_numaff_list>
                <agg_qualite_code>PRIN</agg_qualite_code>
                <agg_representants/>
                <agg_representants_mandat/>
              </agg_partie>
              <agg_partie last_partie="1" position="1" total="1">
                <agg_nom>UniCredit SpA</agg_nom>
                <agg_city_country>Roma Italie, </agg_city_country>
                <agg_type>PE</agg_type>
                <agg_tri>40</agg_tri>
                <agg_numaff_list>C###TIRET_INSECABLE###206/16</agg_numaff_list>
                <agg_qualite_code>PRIN</agg_qualite_code>
                <agg_representants/>
                <agg_representants_mandat/>
              </agg_partie>
            </agg_PEC_parties>
          </agg_group_partie>
        </agg_group_parties>
      </agg_group_affaire>
    </agg_group_affaires>
    <agg_Affaires_parties>
      <agg_REQ_parties>
        <agg_partie>Marco Tronchetti Provera SpA</agg_partie>
        <agg_partie>Antares European Fund Limited</agg_partie>
        <agg_partie>Antares European Fund II Limited</agg_partie>
        <agg_partie>Antares European Fund LP</agg_partie>
        <agg_partie>Luca Orsini Baroni</agg_partie>
        <agg_partie>UniCredit SpA</agg_partie>
        <agg_partie>Camfin SpA</agg_partie>
      </agg_REQ_parties>
      <agg_DEF_parties>
        <agg_partie>Commissione Nazionale per le Società e la Borsa (Consob)</agg_partie>
      </agg_DEF_parties>
    </agg_Affaires_parties>
    <agg_introduction_affaire>  Consiglio di Stato (Itaalia),  </agg_introduction_affaire>
    <agg_affaires_start>C###TIRET_INSECABLE###206/16</agg_affaires_start>
    <agg_affaires_start_uppercase>C###TIRET_INSECABLE###206/16</agg_affaires_start_uppercase>
    <agg_affaires_short/>
    <agg_affaires>C###TIRET_INSECABLE###206/16</agg_affaires>
    <agg_affaires_avis>C###TIRET_INSECABLE###206/16</agg_affaires_avis>
    <agg_affaires_jointes>C###TIRET_INSECABLE###206/16</agg_affaires_jointes>
    <agg_affaires_jointes_uppercase>C###TIRET_INSECABLE###206/16</agg_affaires_jointes_uppercase>
    <agg_affaires_display_type>grouped</agg_affaires_display_type>
    <agg_affaires_nb_parties_REQ>7</agg_affaires_nb_parties_REQ>
    <agg_affaires_nb_parties_DEF>9</agg_affaires_nb_parties_DEF>
    <agg_affaires_nb_parties_AUTRE>0</agg_affaires_nb_parties_AUTRE>
  </affaires>
  <dates_renvoi>
    <date numaffs="">10-11-2015</date>
  </dates_renvoi>
  <dates_objet>
    <date numaffs="">13-04-2016</date>
  </dates_objet>
  <agg_general_data>
    <agg_aide_judiciaire_texte/>
    <agg_affaire_chambre/>
    <agg_chambre_numero/>
    <agg_affaire_chambre_parentheses/>
    <agg_affaire_chambre_upper/>
  </agg_general_data>
  <agg_demande_suivi2>
    <agg_auteurs/>
    <agg_numero_pieceDossier> - </agg_numero_pieceDossier>
    <agg_denomination>DENOM_PP-CONCL</agg_denomination>
  </agg_demande_suivi2>
</doc_ref>
</file>

<file path=customXml/item3.xml><?xml version="1.0" encoding="utf-8"?>
<ValidationRuleDefinitions>
  <FormattingRuleDefinitions>
    <FormattingRuleDefinition xmlns:xsd="http://www.w3.org/2001/XMLSchema" xmlns:xsi="http://www.w3.org/2001/XMLSchema-instance">
      <Identifier>247</Identifier>
      <GroupKey>expression</GroupKey>
      <ValidationRuleWarningLevel>Error</ValidationRuleWarningLevel>
      <ValidationRuleShortDescription>Ajout d'un espace insécable</ValidationRuleShortDescription>
      <ValidationRuleDescription>Ajout d'un espace insécable</ValidationRuleDescription>
      <FormattingExpression>###NON_BREAKING_SPACE###</FormattingExpression>
      <FormattingSearchText>###NON_BREAKING_SPACE###</FormattingSearchText>
      <FormattingType>NonbreakingSpace</FormattingType>
    </FormattingRuleDefinition>
    <FormattingRuleDefinition xmlns:xsd="http://www.w3.org/2001/XMLSchema" xmlns:xsi="http://www.w3.org/2001/XMLSchema-instance">
      <Identifier>273</Identifier>
      <GroupKey>expression</GroupKey>
      <ValidationRuleWarningLevel>Error</ValidationRuleWarningLevel>
      <ValidationRuleShortDescription>Ajout d'un espace insécable</ValidationRuleShortDescription>
      <ValidationRuleDescription>Ajout d'un espace insécable</ValidationRuleDescription>
      <FormattingExpression>###NON_BREAKING_SPACE###</FormattingExpression>
      <FormattingSearchText>###NON_BREAKING_SPACE###</FormattingSearchText>
      <FormattingType>NonbreakingSpace</FormattingType>
    </FormattingRuleDefinition>
  </FormattingRuleDefinitions>
  <BlockStyleRuleDefinitions>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90_Edition_provisoire_grande_marge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90_Edition_provisoire_grande_marge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RichTC_rtfTitre_AGM_mh7ItDU+eU</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RichTC_rtfTitre_AGF_fLKXBAmPPE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RichTC_rtfAvGen_P7Glxb6JrE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RichTC_eXCgk0q4AE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DateTC_Presenta_/9+xMoN5Y0</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RichTC_rtfLangueOrig_VRwjNyvfoU</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RichTC_rtfLangueOrig_XmVcZKdiZE</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RichTC_mXaKPR5myU</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RichTC_document_language_p71OgvJzcE</string>
      </BlockIds>
      <AuthorizedParagraphStyleIds>
        <string>TextBoxStyle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RichTC_rtfNumAffAvis_jN+tR91ITE</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RichTC_rtfNumAff_Idfm1ErAx0</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RichTC_rtfNumAffJointesAvis_ygnM/YrWFU</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RichTC_rtfNumAffJointes_9ri0OKJ/+k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RichTC_En19Z17OGk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RichTC_5lHzykv/qk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RichTC_AffEngagePar_czDNiohoXU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RichTC_NomReq_a7l0lncdlE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RichTC_qrZQmaBuvE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RichTC_W2q78ZhEBU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RichTC_comma_wvmPBEpvgk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RichTC_EcGyi7aJAU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RichTC_PartContre_SMxb1EKEh0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RichTC_NomDef_eIpWcvjOyE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RichTC_739o4noMTk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RichTC_qIzDwhitj0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RichTC_comma_Zq4rNDJ7+k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RichTC_PartPresence_vg9qAEQSbk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RichTC_NomPec_ttvIQVA5fU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RichTC_complementPec_ffN1wUjtY0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RichTC_commaPec_T8BEIIGj+E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RichTC_PartEt_RVrcOIqrmk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RichTC_rtfJuridNationale_YPGOvfdM4k</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RichTC_wKA39CnqHk</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RichTC_open_parenthesisJN_IgNFngpW50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RichTC_4dYHWs5300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RichTC_close_parenthesisJN_YSqf4/24i0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RichTC_PartEt_RVrcOIqrmk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RichTC_rtfMotclePrefix_1yem+lO83E</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RichTC_rtfMotcle_MFz/TZXynk</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RichTC_rtfMotcleSuffix_7d0569SeGE</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RichTC_corpus26_8tbLbG8XN0</string>
      </BlockIds>
      <AuthorizedParagraphStyleIds>
        <string>01_Point_(Alt+N)</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RichTC_corpus27_xVv8Up/eDU</string>
      </BlockIds>
      <AuthorizedParagraphStyleIds>
        <string>21_Titre_numerote_1</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RichTC_corpus26_8tbLbG8XN0</string>
      </BlockIds>
      <AuthorizedParagraphStyleIds>
        <string>01_Point_(Alt+N)</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PictC_vhDbrpVX50</string>
      </BlockIds>
      <AuthorizedParagraphStyleIds>
        <string>BottomAnchorRightImage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RichTC_pQSK+tRqnk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RichTC_HeaderText_L+8sXVQlok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RichTC_ZrviWkViEE</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RichTC_HeaderTextAffJointes_TCa/MbHro0</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RichTC_HeaderTextAffaire_mXYuxxVOJk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RichTC_yKbcRLKBfU</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RichTC_xwS3k6sP6U</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NumeF_SADJ0rvEw0</string>
      </BlockIds>
      <AuthorizedParagraphStyleIds>
        <string>Footer</string>
      </AuthorizedParagraphStyleIds>
      <AuthorizedCharacterStyleIds>
        <string>FooterCharacterStyle</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RichTC_H3WAQcA+Ck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NumeF_woluqPu4/k</string>
      </BlockIds>
      <AuthorizedParagraphStyleIds>
        <string>Footer</string>
      </AuthorizedParagraphStyleIds>
      <AuthorizedCharacterStyleIds>
        <string>FooterCharacterStyle</string>
      </AuthorizedCharacterStyleIds>
      <CanOverrideStyle>false</CanOverrideStyle>
    </BlockStyleRuleDefinition>
  </BlockStyleRuleDefinitions>
</ValidationRuleDefinitions>
</file>

<file path=customXml/item4.xml><?xml version="1.0" encoding="utf-8"?>
<OriginalStyles>
  <OriginalStyle StyleId="90Editionprovisoiregrandemarge" Tag="ccTag1" AuthorizedChange="true">90_Edition_provisoire_grande_marge</OriginalStyle>
  <OriginalStyle AuthorizedChange="false" StyleId="36Centre" Tag="ccTag2">36_Centre</OriginalStyle>
  <OriginalStyle AuthorizedChange="false" StyleId="36Centre" Tag="ccTag3">36_Centre</OriginalStyle>
  <OriginalStyle AuthorizedChange="false" StyleId="36Centre" Tag="DateTC_Presenta_xpLxNdRPYkuhMADQtwKvug==">36_Centre</OriginalStyle>
  <OriginalStyle AuthorizedChange="false" StyleId="38Centregrasgrandespacement" Tag="ccTag5">38_Centre_gras_grand_espacement</OriginalStyle>
  <OriginalStyle AuthorizedChange="false" StyleId="37Centregras" Tag="ccTag6">37_Centre_gras</OriginalStyle>
  <OriginalStyle AuthorizedChange="false" StyleId="37Centregras" Tag="ccTag7">37_Centre_gras</OriginalStyle>
  <OriginalStyle AuthorizedChange="false" StyleId="37Centregras" Tag="ccTag8">37_Centre_gras</OriginalStyle>
  <OriginalStyle AuthorizedChange="false" StyleId="37Centregras" Tag="ccTag9">37_Centre_gras</OriginalStyle>
  <OriginalStyle AuthorizedChange="false" StyleId="39Centreespacement" Tag="ccTag10">39_Centre_espacement</OriginalStyle>
  <OriginalStyle AuthorizedChange="false" StyleId="71Indicateur" Tag="ccTag11">71_Indicateur</OriginalStyle>
  <OriginalStyle AuthorizedChange="false" StyleId="01PointAltN" Tag="ccTag13">01_Point_(Alt+N)</OriginalStyle>
  <OriginalStyle AuthorizedChange="false" StyleId="01PointAltN" Tag="ccTag14">01_Point_(Alt+N)</OriginalStyle>
  <OriginalStyle AuthorizedChange="false" StyleId="01PointAltN" Tag="ccTag15">01_Point_(Alt+N)</OriginalStyle>
  <OriginalStyle AuthorizedChange="false" StyleId="01PointAltN" Tag="ccTag16">01_Point_(Alt+N)</OriginalStyle>
  <OriginalStyle AuthorizedChange="false" StyleId="21Titrenumerote1" Tag="ccTag17">21_Titre_numerote_1</OriginalStyle>
  <OriginalStyle AuthorizedChange="false" StyleId="22Titrenumerote2" Tag="ccTag18">22_Titre_numerote_2</OriginalStyle>
  <OriginalStyle AuthorizedChange="false" StyleId="01PointAltN" Tag="ccTag19">01_Point_(Alt+N)</OriginalStyle>
  <OriginalStyle AuthorizedChange="false" StyleId="01PointAltN" Tag="ccTag20">01_Point_(Alt+N)</OriginalStyle>
  <OriginalStyle AuthorizedChange="false" StyleId="02AlineaAltA" Tag="ccTag21">02_Alinea_(Alt+A)</OriginalStyle>
  <OriginalStyle AuthorizedChange="false" StyleId="09Marge0avecretrait" Tag="ccTag22">09_Marge_0_avec_retrait</OriginalStyle>
  <OriginalStyle AuthorizedChange="false" StyleId="09Marge0avecretrait" Tag="ccTag23">09_Marge_0_avec_retrait</OriginalStyle>
  <OriginalStyle AuthorizedChange="false" StyleId="09Marge0avecretrait" Tag="ccTag24">09_Marge_0_avec_retrait</OriginalStyle>
  <OriginalStyle AuthorizedChange="false" StyleId="09Marge0avecretrait" Tag="ccTag25">09_Marge_0_avec_retrait</OriginalStyle>
  <OriginalStyle AuthorizedChange="false" StyleId="09Marge0avecretrait" Tag="ccTag26">09_Marge_0_avec_retrait</OriginalStyle>
  <OriginalStyle AuthorizedChange="false" StyleId="02AlineaAltA" Tag="ccTag27">02_Alinea_(Alt+A)</OriginalStyle>
  <OriginalStyle AuthorizedChange="false" StyleId="09Marge0avecretrait" Tag="ccTag28">09_Marge_0_avec_retrait</OriginalStyle>
  <OriginalStyle AuthorizedChange="false" StyleId="09Marge0avecretrait" Tag="ccTag29">09_Marge_0_avec_retrait</OriginalStyle>
  <OriginalStyle AuthorizedChange="false" StyleId="01PointAltN" Tag="ccTag30">01_Point_(Alt+N)</OriginalStyle>
  <OriginalStyle AuthorizedChange="false" StyleId="01PointAltN" Tag="ccTag31">01_Point_(Alt+N)</OriginalStyle>
  <OriginalStyle AuthorizedChange="false" StyleId="02AlineaAltA" Tag="ccTag32">02_Alinea_(Alt+A)</OriginalStyle>
  <OriginalStyle AuthorizedChange="false" StyleId="02AlineaAltA" Tag="ccTag33">02_Alinea_(Alt+A)</OriginalStyle>
  <OriginalStyle AuthorizedChange="false" StyleId="09Marge0avecretrait" Tag="ccTag34">09_Marge_0_avec_retrait</OriginalStyle>
  <OriginalStyle AuthorizedChange="false" StyleId="10Marge1" Tag="ccTag35">10_Marge_1</OriginalStyle>
  <OriginalStyle AuthorizedChange="false" StyleId="09Marge0avecretrait" Tag="ccTag36">09_Marge_0_avec_retrait</OriginalStyle>
  <OriginalStyle AuthorizedChange="false" StyleId="01PointAltN" Tag="ccTag37">01_Point_(Alt+N)</OriginalStyle>
  <OriginalStyle AuthorizedChange="false" StyleId="02AlineaAltA" Tag="ccTag38">02_Alinea_(Alt+A)</OriginalStyle>
  <OriginalStyle AuthorizedChange="false" StyleId="09Marge0avecretrait" Tag="ccTag39">09_Marge_0_avec_retrait</OriginalStyle>
  <OriginalStyle AuthorizedChange="false" StyleId="02AlineaAltA" Tag="ccTag40">02_Alinea_(Alt+A)</OriginalStyle>
  <OriginalStyle AuthorizedChange="false" StyleId="02AlineaAltA" Tag="ccTag41">02_Alinea_(Alt+A)</OriginalStyle>
  <OriginalStyle AuthorizedChange="false" StyleId="02AlineaAltA" Tag="ccTag42">02_Alinea_(Alt+A)</OriginalStyle>
  <OriginalStyle AuthorizedChange="false" StyleId="09Marge0avecretrait" Tag="ccTag43">09_Marge_0_avec_retrait</OriginalStyle>
  <OriginalStyle AuthorizedChange="false" StyleId="22Titrenumerote2" Tag="ccTag44">22_Titre_numerote_2</OriginalStyle>
  <OriginalStyle AuthorizedChange="false" StyleId="01PointAltN" Tag="ccTag45">01_Point_(Alt+N)</OriginalStyle>
  <OriginalStyle AuthorizedChange="false" StyleId="02AlineaAltA" Tag="ccTag46">02_Alinea_(Alt+A)</OriginalStyle>
  <OriginalStyle AuthorizedChange="false" StyleId="09Marge0avecretrait" Tag="ccTag47">09_Marge_0_avec_retrait</OriginalStyle>
  <OriginalStyle AuthorizedChange="false" StyleId="11Marge1avecretrait" Tag="ccTag48">11_Marge_1_avec_retrait</OriginalStyle>
  <OriginalStyle AuthorizedChange="false" StyleId="11Marge1avecretrait" Tag="ccTag49">11_Marge_1_avec_retrait</OriginalStyle>
  <OriginalStyle AuthorizedChange="false" StyleId="01PointAltN" Tag="ccTag50">01_Point_(Alt+N)</OriginalStyle>
  <OriginalStyle AuthorizedChange="false" StyleId="02AlineaAltA" Tag="ccTag51">02_Alinea_(Alt+A)</OriginalStyle>
  <OriginalStyle AuthorizedChange="false" StyleId="21Titrenumerote1" Tag="ccTag52">21_Titre_numerote_1</OriginalStyle>
  <OriginalStyle AuthorizedChange="false" StyleId="01PointAltN" Tag="ccTag53">01_Point_(Alt+N)</OriginalStyle>
  <OriginalStyle AuthorizedChange="false" StyleId="01PointAltN" Tag="ccTag54">01_Point_(Alt+N)</OriginalStyle>
  <OriginalStyle AuthorizedChange="false" StyleId="01PointAltN" Tag="ccTag55">01_Point_(Alt+N)</OriginalStyle>
  <OriginalStyle AuthorizedChange="false" StyleId="01PointAltN" Tag="ccTag56">01_Point_(Alt+N)</OriginalStyle>
  <OriginalStyle AuthorizedChange="false" StyleId="01PointAltN" Tag="ccTag57">01_Point_(Alt+N)</OriginalStyle>
  <OriginalStyle AuthorizedChange="false" StyleId="01PointAltN" Tag="ccTag58">01_Point_(Alt+N)</OriginalStyle>
  <OriginalStyle AuthorizedChange="false" StyleId="01PointAltN" Tag="ccTag59">01_Point_(Alt+N)</OriginalStyle>
  <OriginalStyle AuthorizedChange="false" StyleId="01PointAltN" Tag="ccTag60">01_Point_(Alt+N)</OriginalStyle>
  <OriginalStyle AuthorizedChange="false" StyleId="01PointAltN" Tag="ccTag61">01_Point_(Alt+N)</OriginalStyle>
  <OriginalStyle AuthorizedChange="false" StyleId="01PointAltN" Tag="ccTag62">01_Point_(Alt+N)</OriginalStyle>
  <OriginalStyle AuthorizedChange="false" StyleId="02AlineaAltA" Tag="ccTag63">02_Alinea_(Alt+A)</OriginalStyle>
  <OriginalStyle AuthorizedChange="false" StyleId="21Titrenumerote1" Tag="ccTag64">21_Titre_numerote_1</OriginalStyle>
  <OriginalStyle AuthorizedChange="false" StyleId="22Titrenumerote2" Tag="ccTag65">22_Titre_numerote_2</OriginalStyle>
  <OriginalStyle AuthorizedChange="false" StyleId="01PointAltN" Tag="ccTag66">01_Point_(Alt+N)</OriginalStyle>
  <OriginalStyle AuthorizedChange="false" StyleId="01PointAltN" Tag="ccTag67">01_Point_(Alt+N)</OriginalStyle>
  <OriginalStyle AuthorizedChange="false" StyleId="01PointAltN" Tag="ccTag68">01_Point_(Alt+N)</OriginalStyle>
  <OriginalStyle AuthorizedChange="false" StyleId="01PointAltN" Tag="ccTag69">01_Point_(Alt+N)</OriginalStyle>
  <OriginalStyle AuthorizedChange="false" StyleId="01PointAltN" Tag="ccTag70">01_Point_(Alt+N)</OriginalStyle>
  <OriginalStyle AuthorizedChange="false" StyleId="01PointAltN" Tag="ccTag71">01_Point_(Alt+N)</OriginalStyle>
  <OriginalStyle AuthorizedChange="false" StyleId="01PointAltN" Tag="ccTag72">01_Point_(Alt+N)</OriginalStyle>
  <OriginalStyle AuthorizedChange="false" StyleId="01PointAltN" Tag="ccTag73">01_Point_(Alt+N)</OriginalStyle>
  <OriginalStyle AuthorizedChange="false" StyleId="22Titrenumerote2" Tag="ccTag74">22_Titre_numerote_2</OriginalStyle>
  <OriginalStyle AuthorizedChange="false" StyleId="23Titrenumerote3" Tag="ccTag75">23_Titre_numerote_3</OriginalStyle>
  <OriginalStyle AuthorizedChange="false" StyleId="01PointAltN" Tag="ccTag76">01_Point_(Alt+N)</OriginalStyle>
  <OriginalStyle AuthorizedChange="false" StyleId="01PointAltN" Tag="ccTag77">01_Point_(Alt+N)</OriginalStyle>
  <OriginalStyle AuthorizedChange="false" StyleId="01PointAltN" Tag="ccTag78">01_Point_(Alt+N)</OriginalStyle>
  <OriginalStyle AuthorizedChange="false" StyleId="01PointAltN" Tag="ccTag79">01_Point_(Alt+N)</OriginalStyle>
  <OriginalStyle AuthorizedChange="false" StyleId="01PointAltN" Tag="ccTag80">01_Point_(Alt+N)</OriginalStyle>
  <OriginalStyle AuthorizedChange="false" StyleId="23Titrenumerote3" Tag="ccTag81">23_Titre_numerote_3</OriginalStyle>
  <OriginalStyle AuthorizedChange="false" StyleId="01PointAltN" Tag="ccTag82">01_Point_(Alt+N)</OriginalStyle>
  <OriginalStyle AuthorizedChange="false" StyleId="01PointAltN" Tag="ccTag83">01_Point_(Alt+N)</OriginalStyle>
  <OriginalStyle AuthorizedChange="false" StyleId="01PointAltN" Tag="ccTag84">01_Point_(Alt+N)</OriginalStyle>
  <OriginalStyle AuthorizedChange="false" StyleId="01PointAltN" Tag="ccTag85">01_Point_(Alt+N)</OriginalStyle>
  <OriginalStyle AuthorizedChange="false" StyleId="01PointAltN" Tag="ccTag86">01_Point_(Alt+N)</OriginalStyle>
  <OriginalStyle AuthorizedChange="false" StyleId="01PointAltN" Tag="ccTag87">01_Point_(Alt+N)</OriginalStyle>
  <OriginalStyle AuthorizedChange="false" StyleId="23Titrenumerote3" Tag="ccTag88">23_Titre_numerote_3</OriginalStyle>
  <OriginalStyle AuthorizedChange="false" StyleId="24Titrenumerote4" Tag="ccTag89">24_Titre_numerote_4</OriginalStyle>
  <OriginalStyle AuthorizedChange="false" StyleId="01PointAltN" Tag="ccTag90">01_Point_(Alt+N)</OriginalStyle>
  <OriginalStyle AuthorizedChange="false" StyleId="01PointAltN" Tag="ccTag91">01_Point_(Alt+N)</OriginalStyle>
  <OriginalStyle AuthorizedChange="false" StyleId="01PointAltN" Tag="ccTag92">01_Point_(Alt+N)</OriginalStyle>
  <OriginalStyle AuthorizedChange="false" StyleId="01PointAltN" Tag="ccTag93">01_Point_(Alt+N)</OriginalStyle>
  <OriginalStyle AuthorizedChange="false" StyleId="01PointAltN" Tag="ccTag94">01_Point_(Alt+N)</OriginalStyle>
  <OriginalStyle AuthorizedChange="false" StyleId="01PointAltN" Tag="ccTag95">01_Point_(Alt+N)</OriginalStyle>
  <OriginalStyle AuthorizedChange="false" StyleId="01PointAltN" Tag="ccTag96">01_Point_(Alt+N)</OriginalStyle>
  <OriginalStyle AuthorizedChange="false" StyleId="01PointAltN" Tag="ccTag97">01_Point_(Alt+N)</OriginalStyle>
  <OriginalStyle AuthorizedChange="false" StyleId="01PointAltN" Tag="ccTag98">01_Point_(Alt+N)</OriginalStyle>
  <OriginalStyle AuthorizedChange="false" StyleId="01PointAltN" Tag="ccTag99">01_Point_(Alt+N)</OriginalStyle>
  <OriginalStyle AuthorizedChange="false" StyleId="24Titrenumerote4" Tag="ccTag100">24_Titre_numerote_4</OriginalStyle>
  <OriginalStyle AuthorizedChange="false" StyleId="01PointAltN" Tag="ccTag101">01_Point_(Alt+N)</OriginalStyle>
  <OriginalStyle AuthorizedChange="false" StyleId="01PointAltN" Tag="ccTag102">01_Point_(Alt+N)</OriginalStyle>
  <OriginalStyle AuthorizedChange="false" StyleId="01PointAltN" Tag="ccTag103">01_Point_(Alt+N)</OriginalStyle>
  <OriginalStyle AuthorizedChange="false" StyleId="01PointAltN" Tag="ccTag104">01_Point_(Alt+N)</OriginalStyle>
  <OriginalStyle AuthorizedChange="false" StyleId="01PointAltN" Tag="ccTag105">01_Point_(Alt+N)</OriginalStyle>
  <OriginalStyle AuthorizedChange="false" StyleId="01PointAltN" Tag="ccTag106">01_Point_(Alt+N)</OriginalStyle>
  <OriginalStyle AuthorizedChange="false" StyleId="01PointAltN" Tag="ccTag107">01_Point_(Alt+N)</OriginalStyle>
  <OriginalStyle AuthorizedChange="false" StyleId="01PointAltN" Tag="ccTag108">01_Point_(Alt+N)</OriginalStyle>
  <OriginalStyle AuthorizedChange="false" StyleId="01PointAltN" Tag="ccTag109">01_Point_(Alt+N)</OriginalStyle>
  <OriginalStyle AuthorizedChange="false" StyleId="01PointAltN" Tag="ccTag110">01_Point_(Alt+N)</OriginalStyle>
  <OriginalStyle AuthorizedChange="false" StyleId="01PointAltN" Tag="ccTag111">01_Point_(Alt+N)</OriginalStyle>
  <OriginalStyle AuthorizedChange="false" StyleId="01PointAltN" Tag="ccTag112">01_Point_(Alt+N)</OriginalStyle>
  <OriginalStyle AuthorizedChange="false" StyleId="01PointAltN" Tag="ccTag113">01_Point_(Alt+N)</OriginalStyle>
  <OriginalStyle AuthorizedChange="false" StyleId="01PointAltN" Tag="ccTag114">01_Point_(Alt+N)</OriginalStyle>
  <OriginalStyle AuthorizedChange="false" StyleId="01PointAltN" Tag="ccTag115">01_Point_(Alt+N)</OriginalStyle>
  <OriginalStyle AuthorizedChange="false" StyleId="21Titrenumerote1" Tag="ccTag116">21_Titre_numerote_1</OriginalStyle>
  <OriginalStyle AuthorizedChange="false" StyleId="02AlineaAltA" Tag="ccTag117">02_Alinea_(Alt+A)</OriginalStyle>
  <OriginalStyle AuthorizedChange="false" StyleId="Header" Tag="ccTag121">header</OriginalStyle>
  <OriginalStyle AuthorizedChange="false" StyleId="Header" Tag="ccTag122">header</OriginalStyle>
  <OriginalStyle AuthorizedChange="false" StyleId="Header" Tag="ccTag123">header</OriginalStyle>
  <OriginalStyle AuthorizedChange="false" StyleId="Footer" Tag="ccTag118">footer</OriginalStyle>
  <OriginalStyle AuthorizedChange="false" StyleId="Footer" Tag="ccTag119">footer</OriginalStyle>
  <OriginalStyle AuthorizedChange="false" StyleId="Footer" Tag="ccTag120">footer</OriginalStyle>
  <OriginalStyle AuthorizedChange="false" StyleId="Footer" Tag="ccTag124">footer</OriginalStyle>
  <OriginalStyle AuthorizedChange="false" StyleId="42FootnoteLangue" Tag="RichTC_rtfLangueOrig_cdf613ff-ecbf-43d7-8321-ebe2350e90bf">42_Footnote_Langue</OriginalStyle>
  <OriginalStyle AuthorizedChange="false" StyleId="FootnoteText" Tag="ccTag127">footnote text</OriginalStyle>
  <OriginalStyle AuthorizedChange="false" StyleId="FootnoteText" Tag="ccTag128">footnote text</OriginalStyle>
  <OriginalStyle AuthorizedChange="false" StyleId="FootnoteText" Tag="ccTag129">footnote text</OriginalStyle>
  <OriginalStyle AuthorizedChange="false" StyleId="FootnoteText" Tag="ccTag130">footnote text</OriginalStyle>
  <OriginalStyle AuthorizedChange="false" StyleId="FootnoteText" Tag="ccTag131">footnote text</OriginalStyle>
  <OriginalStyle AuthorizedChange="false" StyleId="FootnoteText" Tag="ccTag132">footnote text</OriginalStyle>
  <OriginalStyle AuthorizedChange="false" StyleId="FootnoteText" Tag="ccTag133">footnote text</OriginalStyle>
  <OriginalStyle AuthorizedChange="false" StyleId="FootnoteText" Tag="ccTag134">footnote text</OriginalStyle>
  <OriginalStyle AuthorizedChange="false" StyleId="FootnoteText" Tag="ccTag135">footnote text</OriginalStyle>
  <OriginalStyle AuthorizedChange="false" StyleId="FootnoteText" Tag="ccTag136">footnote text</OriginalStyle>
  <OriginalStyle AuthorizedChange="false" StyleId="FootnoteText" Tag="ccTag137">footnote text</OriginalStyle>
  <OriginalStyle AuthorizedChange="false" StyleId="FootnoteText" Tag="ccTag138">footnote text</OriginalStyle>
  <OriginalStyle AuthorizedChange="false" StyleId="FootnoteText" Tag="ccTag139">footnote text</OriginalStyle>
  <OriginalStyle AuthorizedChange="false" StyleId="FootnoteText" Tag="ccTag140">footnote text</OriginalStyle>
  <OriginalStyle AuthorizedChange="false" StyleId="FootnoteText" Tag="ccTag141">footnote text</OriginalStyle>
  <OriginalStyle AuthorizedChange="false" StyleId="FootnoteText" Tag="ccTag142">footnote text</OriginalStyle>
  <OriginalStyle AuthorizedChange="false" StyleId="FootnoteText" Tag="ccTag143">footnote text</OriginalStyle>
  <OriginalStyle AuthorizedChange="false" StyleId="FootnoteText" Tag="ccTag144">footnote text</OriginalStyle>
  <OriginalStyle AuthorizedChange="false" StyleId="FootnoteText" Tag="ccTag145">footnote text</OriginalStyle>
  <OriginalStyle AuthorizedChange="false" StyleId="FootnoteText" Tag="ccTag146">footnote text</OriginalStyle>
  <OriginalStyle AuthorizedChange="false" StyleId="FootnoteText" Tag="ccTag147">footnote text</OriginalStyle>
  <OriginalStyle AuthorizedChange="false" StyleId="FootnoteText" Tag="ccTag148">footnote text</OriginalStyle>
  <OriginalStyle AuthorizedChange="false" StyleId="FootnoteText" Tag="ccTag149">footnote text</OriginalStyle>
  <OriginalStyle AuthorizedChange="false" StyleId="FootnoteText" Tag="ccTag150">footnote text</OriginalStyle>
  <OriginalStyle AuthorizedChange="false" StyleId="FootnoteText" Tag="ccTag151">footnote text</OriginalStyle>
  <OriginalStyle AuthorizedChange="false" StyleId="FootnoteText" Tag="ccTag152">footnote text</OriginalStyle>
  <OriginalStyle AuthorizedChange="false" StyleId="FootnoteText" Tag="ccTag153">footnote text</OriginalStyle>
  <OriginalStyle AuthorizedChange="false" StyleId="FootnoteText" Tag="ccTag154">footnote text</OriginalStyle>
  <OriginalStyle AuthorizedChange="false" StyleId="FootnoteText" Tag="ccTag155">footnote text</OriginalStyle>
</OriginalStyles>
</file>

<file path=customXml/item5.xml><?xml version="1.0" encoding="utf-8"?>
<OriginalStyleDescriptions>
  <OriginalStyleDescription xmlns:xsi="http://www.w3.org/2001/XMLSchema-instance" xmlns:xsd="http://www.w3.org/2001/XMLSchema">
    <Name>01_Point_(Alt+N)</Name>
    <Description>Justified, Space
    After:  12 pt
    Tab stops:  1,2 cm, Right, Outline numbered + Level: 1 + Numbering Style: 1, 2, 3, … + Start at: 1 + Alignment: Left + Aligned at:  0 cm + Tab after:  1,2 cm + Indent at:  0 cm, Priority: 100
    Based on: Normal</Description>
  </OriginalStyleDescription>
  <OriginalStyleDescription xmlns:xsi="http://www.w3.org/2001/XMLSchema-instance" xmlns:xsd="http://www.w3.org/2001/XMLSchema">
    <Name>01_Point_(Alt+N)_List</Name>
    <Description>Font: (Default) Times New Roman, 12 pt, Not Bold, Not Italic, Font color: Black, Outline numbered + Level: 1 + Numbering Style: 1, 2, 3, … + Start at: 1 + Alignment: Left + Aligned at:  0 cm + Tab after:  1,2 cm + Indent at:  0 cm, Priority: 100
    Based on: No List</Description>
  </OriginalStyleDescription>
  <OriginalStyleDescription xmlns:xsi="http://www.w3.org/2001/XMLSchema-instance" xmlns:xsd="http://www.w3.org/2001/XMLSchema">
    <Name>02_Alinea_(Alt+A)</Name>
    <Description>Justified, Space
    After:  12 pt
    Tab stops:  1 cm, Left, Priority: 100
    Based on: Normal</Description>
  </OriginalStyleDescription>
  <OriginalStyleDescription xmlns:xsi="http://www.w3.org/2001/XMLSchema-instance" xmlns:xsd="http://www.w3.org/2001/XMLSchema">
    <Name>02_BoldCharacterStyle</Name>
    <Description>Font: Bold, Priority: 100
    Based on: Default Paragraph Font</Description>
  </OriginalStyleDescription>
  <OriginalStyleDescription xmlns:xsi="http://www.w3.org/2001/XMLSchema-instance" xmlns:xsd="http://www.w3.org/2001/XMLSchema">
    <Name>02_ItalicCharacterStyle</Name>
    <Description>Font: Italic, Priority: 100
    Based on: Default Paragraph Font</Description>
  </OriginalStyleDescription>
  <OriginalStyleDescription xmlns:xsi="http://www.w3.org/2001/XMLSchema-instance" xmlns:xsd="http://www.w3.org/2001/XMLSchema">
    <Name>03_Tiret_long</Name>
    <Description>Indent:
    Left:  0 cm
    Hanging:  0,5 cm, Justified, Space
    After:  12 pt
    Tab stops:  0,5 cm, Right, Outline numbered + Level: 1 + Numbering Style: Bullet + Aligned at:  0 cm + Tab after:  0,5 cm + Indent at:  0,5 cm, Priority: 100
    Based on: Normal</Description>
  </OriginalStyleDescription>
  <OriginalStyleDescription xmlns:xsi="http://www.w3.org/2001/XMLSchema-instance" xmlns:xsd="http://www.w3.org/2001/XMLSchema">
    <Name>03_Tiret_long_List</Name>
    <Description>Font: (Default) Times New Roman, Font color: Black, Indent:
    Left:  0 cm
    Hanging:  0,5 cm, Outline numbered + Level: 1 + Numbering Style: Bullet + Aligned at:  0 cm + Tab after:  0,5 cm + Indent at:  0,5 cm, Priority: 100
    Based on: No List</Description>
  </OriginalStyleDescription>
  <OriginalStyleDescription xmlns:xsi="http://www.w3.org/2001/XMLSchema-instance" xmlns:xsd="http://www.w3.org/2001/XMLSchema">
    <Name>04_Titre_1</Name>
    <Description>Font: Bold, Justified, Space
    Before:  24 pt
    After:  12 pt, Keep with next, Keep lines together, Level 2
    Tab stops:  0 cm, List tab, Outline numbered + Level: 1 + Aligned at:  0 cm + Tab after:  0 cm + Indent at:  0 cm, Priority: 100
    Based on: Normal</Description>
  </OriginalStyleDescription>
  <OriginalStyleDescription xmlns:xsi="http://www.w3.org/2001/XMLSchema-instance" xmlns:xsd="http://www.w3.org/2001/XMLSchema">
    <Name>04_Titre_1_List</Name>
    <Description>Font color: Black, Outline numbered + Level: 1 + Aligned at:  0 cm + Tab after:  0 cm + Indent at:  0 cm, Priority: 100
    Based on: No List</Description>
  </OriginalStyleDescription>
  <OriginalStyleDescription xmlns:xsi="http://www.w3.org/2001/XMLSchema-instance" xmlns:xsd="http://www.w3.org/2001/XMLSchema">
    <Name>05_Titre_2</Name>
    <Description>Font: Bold, Italic, Justified, Space
    Before:  18 pt
    After:  12 pt, Keep with next, Keep lines together, Level 3
    Tab stops:  0 cm, List tab, Outline numbered + Level: 2 + Aligned at:  0 cm + Tab after:  0 cm + Indent at:  0 cm, Priority: 100
    Based on: Normal</Description>
  </OriginalStyleDescription>
  <OriginalStyleDescription xmlns:xsi="http://www.w3.org/2001/XMLSchema-instance" xmlns:xsd="http://www.w3.org/2001/XMLSchema">
    <Name>06_Titre_3</Name>
    <Description>Font: Italic, Justified, Space
    Before:  18 pt
    After:  12 pt, Keep with next, Keep lines together, Level 4
    Tab stops:  0 cm, List tab, Outline numbered + Level: 3 + Aligned at:  0 cm + Tab after:  0 cm + Indent at:  0 cm, Priority: 100
    Based on: Normal</Description>
  </OriginalStyleDescription>
  <OriginalStyleDescription xmlns:xsi="http://www.w3.org/2001/XMLSchema-instance" xmlns:xsd="http://www.w3.org/2001/XMLSchema">
    <Name>07_Titre_4</Name>
    <Description>Font: Italic, Justified, Space
    Before:  18 pt
    After:  12 pt, Keep with next, Keep lines together, Level 5
    Tab stops:  0 cm, List tab, Outline numbered + Level: 4 + Aligned at:  0 cm + Tab after:  0 cm + Indent at:  0 cm, Priority: 100
    Based on: Normal</Description>
  </OriginalStyleDescription>
  <OriginalStyleDescription xmlns:xsi="http://www.w3.org/2001/XMLSchema-instance" xmlns:xsd="http://www.w3.org/2001/XMLSchema">
    <Name>09_Marge_0_avec_retrait</Name>
    <Description>Indent:
    Left:  0 cm
    Hanging:  1 cm, Justified, Space
    After:  12 pt, Priority: 100
    Based on: Normal</Description>
  </OriginalStyleDescription>
  <OriginalStyleDescription xmlns:xsi="http://www.w3.org/2001/XMLSchema-instance" xmlns:xsd="http://www.w3.org/2001/XMLSchema">
    <Name>10_Marge_1</Name>
    <Description>Indent:
    Left:  1 cm, Justified, Space
    After:  12 pt
    Tab stops:  1 cm, Left +  2 cm, Left, Priority: 100
    Based on: Normal</Description>
  </OriginalStyleDescription>
  <OriginalStyleDescription xmlns:xsi="http://www.w3.org/2001/XMLSchema-instance" xmlns:xsd="http://www.w3.org/2001/XMLSchema">
    <Name>11_Marge_1_avec_retrait</Name>
    <Description>Indent:
    Left:  1 cm
    Hanging:  1 cm, Justified, Space
    After:  12 pt, Priority: 100
    Based on: Normal</Description>
  </OriginalStyleDescription>
  <OriginalStyleDescription xmlns:xsi="http://www.w3.org/2001/XMLSchema-instance" xmlns:xsd="http://www.w3.org/2001/XMLSchema">
    <Name>12_Marge_1_avec_tiret_long</Name>
    <Description>Indent:
    Left:  1 cm
    Hanging:  1 cm, Justified, Space
    After:  12 pt
    Tab stops:  2 cm, Right, Outline numbered + Level: 2 + Numbering Style: Bullet + Aligned at:  1 cm + Tab after:  2 cm + Indent at:  2 cm, Priority: 100
    Based on: Normal</Description>
  </OriginalStyleDescription>
  <OriginalStyleDescription xmlns:xsi="http://www.w3.org/2001/XMLSchema-instance" xmlns:xsd="http://www.w3.org/2001/XMLSchema">
    <Name>13_Marge_2</Name>
    <Description>Indent:
    Left:  2 cm, Justified, Space
    After:  12 pt
    Tab stops:  1 cm, Left +  3 cm, Left, Priority: 100
    Based on: Normal</Description>
  </OriginalStyleDescription>
  <OriginalStyleDescription xmlns:xsi="http://www.w3.org/2001/XMLSchema-instance" xmlns:xsd="http://www.w3.org/2001/XMLSchema">
    <Name>14_Marge_2_avec_retrait</Name>
    <Description>Indent:
    Left:  2 cm
    Hanging:  1 cm, Justified, Space
    After:  12 pt, Priority: 100
    Based on: Normal</Description>
  </OriginalStyleDescription>
  <OriginalStyleDescription xmlns:xsi="http://www.w3.org/2001/XMLSchema-instance" xmlns:xsd="http://www.w3.org/2001/XMLSchema">
    <Name>14_Tiret_long_5</Name>
    <Description>Indent:
    Left:  4,8 cm
    Hanging:  1,2 cm, Justified, Space
    After:  12 pt
    Tab stops:  6 cm, Right, Outline numbered + Level: 5 + Numbering Style: Bullet + Aligned at:  4,8 cm + Tab after:  6 cm + Indent at:  6 cm, Priority: 100
    Based on: Normal</Description>
  </OriginalStyleDescription>
  <OriginalStyleDescription xmlns:xsi="http://www.w3.org/2001/XMLSchema-instance" xmlns:xsd="http://www.w3.org/2001/XMLSchema">
    <Name>14_Tiret_long_5_List</Name>
    <Description>Font: (Default) Times New Roman, Font color: Black, Indent:
    Left:  0 cm
    Hanging:  1,2 cm, Outline numbered + Level: 1 + Numbering Style: Bullet + Aligned at:  0 cm + Tab after:  1,2 cm + Indent at:  1,2 cm, Priority: 100
    Based on: No List</Description>
  </OriginalStyleDescription>
  <OriginalStyleDescription xmlns:xsi="http://www.w3.org/2001/XMLSchema-instance" xmlns:xsd="http://www.w3.org/2001/XMLSchema">
    <Name>15_Marge_2_avec_tiret_long</Name>
    <Description>Indent:
    Left:  2 cm
    Hanging:  1 cm, Justified, Space
    After:  12 pt
    Tab stops:  3 cm, Right, Outline numbered + Level: 3 + Numbering Style: Bullet + Aligned at:  2 cm + Tab after:  3 cm + Indent at:  3 cm, Priority: 100
    Based on: Normal</Description>
  </OriginalStyleDescription>
  <OriginalStyleDescription xmlns:xsi="http://www.w3.org/2001/XMLSchema-instance" xmlns:xsd="http://www.w3.org/2001/XMLSchema">
    <Name>16_Marge_3</Name>
    <Description>Indent:
    Left:  3 cm, Justified, Space
    After:  12 pt
    Tab stops:  4 cm, Left, Priority: 100
    Based on: Normal</Description>
  </OriginalStyleDescription>
  <OriginalStyleDescription xmlns:xsi="http://www.w3.org/2001/XMLSchema-instance" xmlns:xsd="http://www.w3.org/2001/XMLSchema">
    <Name>17_Marge_3_avec_retrait</Name>
    <Description>Indent:
    Left:  3 cm
    Hanging:  1 cm, Justified, Space
    After:  12 pt, Priority: 100
    Based on: Normal</Description>
  </OriginalStyleDescription>
  <OriginalStyleDescription xmlns:xsi="http://www.w3.org/2001/XMLSchema-instance" xmlns:xsd="http://www.w3.org/2001/XMLSchema">
    <Name>18_Marge_3_avec_tiret_long</Name>
    <Description>Indent:
    Left:  3 cm
    Hanging:  1 cm, Justified, Space
    After:  12 pt
    Tab stops:  4 cm, Right, Outline numbered + Level: 4 + Numbering Style: Bullet + Aligned at:  3 cm + Tab after:  4 cm + Indent at:  4 cm, Priority: 100
    Based on: Normal</Description>
  </OriginalStyleDescription>
  <OriginalStyleDescription xmlns:xsi="http://www.w3.org/2001/XMLSchema-instance" xmlns:xsd="http://www.w3.org/2001/XMLSchema">
    <Name>20_Centre_italique</Name>
    <Description>Font: Italic, Centered, Space
    After:  12 pt, Priority: 100
    Based on: Normal</Description>
  </OriginalStyleDescription>
  <OriginalStyleDescription xmlns:xsi="http://www.w3.org/2001/XMLSchema-instance" xmlns:xsd="http://www.w3.org/2001/XMLSchema">
    <Name>21_Titre_numerote_1</Name>
    <Description>Font: Bold, Justified, Space
    Before:  24 pt
    After:  12 pt, Keep with next, Keep lines together, Level 2
    Tab stops:  0 cm, List tab, Outline numbered + Level: 1 + Numbering Style: I, II, III, … + Start at: 1 + Alignment: Left + Aligned at:  0 cm + Tab after:  0 cm + Indent at:  0 cm, Priority: 100
    Based on: Normal</Description>
  </OriginalStyleDescription>
  <OriginalStyleDescription xmlns:xsi="http://www.w3.org/2001/XMLSchema-instance" xmlns:xsd="http://www.w3.org/2001/XMLSchema">
    <Name>21_Titre_numerote_1_List</Name>
    <Description>Font: 12 pt, Bold, Not Italic, Font color: Black, Outline numbered + Level: 1 + Numbering Style: I, II, III, … + Start at: 1 + Alignment: Left + Aligned at:  0 cm + Tab after:  0 cm + Indent at:  0 cm, Priority: 100
    Based on: No List</Description>
  </OriginalStyleDescription>
  <OriginalStyleDescription xmlns:xsi="http://www.w3.org/2001/XMLSchema-instance" xmlns:xsd="http://www.w3.org/2001/XMLSchema">
    <Name>22_Titre_numerote_2</Name>
    <Description>Font: Bold, Justified, Space
    Before:  18 pt
    After:  12 pt, Keep with next, Keep lines together, Level 3
    Tab stops:  0 cm, List tab, Outline numbered + Level: 2 + Numbering Style: A, B, C, … + Start at: 1 + Alignment: Left + Aligned at:  0 cm + Tab after:  0 cm + Indent at:  0 cm, Priority: 100
    Based on: Normal</Description>
  </OriginalStyleDescription>
  <OriginalStyleDescription xmlns:xsi="http://www.w3.org/2001/XMLSchema-instance" xmlns:xsd="http://www.w3.org/2001/XMLSchema">
    <Name>23_Titre_numerote_3</Name>
    <Description>Font: Bold, Italic, Justified, Space
    Before:  18 pt
    After:  12 pt, Keep with next, Keep lines together, Level 4
    Tab stops:  0 cm, List tab, Outline numbered + Level: 3 + Numbering Style: 1, 2, 3, … + Start at: 1 + Alignment: Left + Aligned at:  0 cm + Tab after:  0 cm + Indent at:  0 cm, Priority: 100
    Based on: Normal</Description>
  </OriginalStyleDescription>
  <OriginalStyleDescription xmlns:xsi="http://www.w3.org/2001/XMLSchema-instance" xmlns:xsd="http://www.w3.org/2001/XMLSchema">
    <Name>24_Titre_numerote_4</Name>
    <Description>Font: Bold, Italic, Justified, Space
    Before:  18 pt
    After:  12 pt, Keep with next, Keep lines together, Level 5
    Tab stops:  0 cm, List tab, Outline numbered + Level: 4 + Numbering Style: a, b, c, … + Start at: 1 + Alignment: Left + Aligned at:  0 cm + Tab after:  0 cm + Indent at:  0 cm, Priority: 100
    Based on: Normal</Description>
  </OriginalStyleDescription>
  <OriginalStyleDescription xmlns:xsi="http://www.w3.org/2001/XMLSchema-instance" xmlns:xsd="http://www.w3.org/2001/XMLSchema">
    <Name>25_Titre_numerote_5</Name>
    <Description>Font: Italic, Justified, Space
    Before:  18 pt
    After:  12 pt, Keep with next, Keep lines together, Level 6
    Tab stops:  0 cm, List tab, Outline numbered + Level: 5 + Numbering Style: 1, 2, 3, … + Start at: 1 + Alignment: Left + Aligned at:  0 cm + Tab after:  0 cm + Indent at:  0 cm, Priority: 100
    Based on: Normal</Description>
  </OriginalStyleDescription>
  <OriginalStyleDescription xmlns:xsi="http://www.w3.org/2001/XMLSchema-instance" xmlns:xsd="http://www.w3.org/2001/XMLSchema">
    <Name>26_Titre_numerote_6</Name>
    <Description>Font: Italic, Justified, Space
    Before:  18 pt
    After:  12 pt, Keep with next, Keep lines together, Level 7
    Tab stops:  0 cm, List tab, Outline numbered + Level: 6 + Numbering Style: i, ii, iii, … + Start at: 1 + Alignment: Left + Aligned at:  0 cm + Tab after:  0 cm + Indent at:  0 cm, Priority: 100
    Based on: Normal</Description>
  </OriginalStyleDescription>
  <OriginalStyleDescription xmlns:xsi="http://www.w3.org/2001/XMLSchema-instance" xmlns:xsd="http://www.w3.org/2001/XMLSchema">
    <Name>27_Titre_numerote_7</Name>
    <Description>Font: Italic, Justified, Space
    Before:  18 pt
    After:  12 pt, Keep with next, Keep lines together, Level 8
    Tab stops:  0 cm, List tab +  1 cm, Left, Outline numbered + Level: 7 + Aligned at:  0 cm + Tab after:  0 cm + Indent at:  0 cm, Priority: 100
    Based on: Normal</Description>
  </OriginalStyleDescription>
  <OriginalStyleDescription xmlns:xsi="http://www.w3.org/2001/XMLSchema-instance" xmlns:xsd="http://www.w3.org/2001/XMLSchema">
    <Name>28_Point_numerote_manuel</Name>
    <Description>Indent:
    Hanging:  0,95 cm, Justified, Space
    After:  12 pt, Priority: 100
    Based on: Normal</Description>
  </OriginalStyleDescription>
  <OriginalStyleDescription xmlns:xsi="http://www.w3.org/2001/XMLSchema-instance" xmlns:xsd="http://www.w3.org/2001/XMLSchema">
    <Name>29_Marge_0_double_retrait</Name>
    <Description>Indent:
    Left:  0 cm
    Hanging:  2 cm, Justified, Space
    After:  12 pt
    Tab stops:  1 cm, Left, Priority: 100
    Based on: Normal</Description>
  </OriginalStyleDescription>
  <OriginalStyleDescription xmlns:xsi="http://www.w3.org/2001/XMLSchema-instance" xmlns:xsd="http://www.w3.org/2001/XMLSchema">
    <Name>35_Renvoi_conclusions</Name>
    <Description>Centered, Space
    Before:  24 pt
    After:  12 pt, Priority: 100
    Based on: Normal</Description>
  </OriginalStyleDescription>
  <OriginalStyleDescription xmlns:xsi="http://www.w3.org/2001/XMLSchema-instance" xmlns:xsd="http://www.w3.org/2001/XMLSchema">
    <Name>36_Centre</Name>
    <Description>Centered, Priority: 100
    Based on: Normal</Description>
  </OriginalStyleDescription>
  <OriginalStyleDescription xmlns:xsi="http://www.w3.org/2001/XMLSchema-instance" xmlns:xsd="http://www.w3.org/2001/XMLSchema">
    <Name>37_Centre_gras</Name>
    <Description>Font: Bold, Centered, Priority: 100
    Based on: Normal</Description>
  </OriginalStyleDescription>
  <OriginalStyleDescription xmlns:xsi="http://www.w3.org/2001/XMLSchema-instance" xmlns:xsd="http://www.w3.org/2001/XMLSchema">
    <Name>38_Centre_gras_grand_espacement</Name>
    <Description>Font: Bold, Centered, Space
    Before:  42 pt
    After:  42 pt, Priority: 100
    Based on: Normal</Description>
  </OriginalStyleDescription>
  <OriginalStyleDescription xmlns:xsi="http://www.w3.org/2001/XMLSchema-instance" xmlns:xsd="http://www.w3.org/2001/XMLSchema">
    <Name>38_Marge_1_double_retrait</Name>
    <Description>Indent:
    Left:  1 cm
    Hanging:  2 cm, Justified, Space
    After:  12 pt
    Tab stops:  2 cm, Left, Priority: 100
    Based on: Normal</Description>
  </OriginalStyleDescription>
  <OriginalStyleDescription xmlns:xsi="http://www.w3.org/2001/XMLSchema-instance" xmlns:xsd="http://www.w3.org/2001/XMLSchema">
    <Name>39_Centre_espacement</Name>
    <Description>Centered, Space
    Before:  30 pt
    After:  30 pt, Priority: 100
    Based on: Normal</Description>
  </OriginalStyleDescription>
  <OriginalStyleDescription xmlns:xsi="http://www.w3.org/2001/XMLSchema-instance" xmlns:xsd="http://www.w3.org/2001/XMLSchema">
    <Name>42_Footnote_Langue</Name>
    <Description>Font: 7,5 pt, Indent:
    Left:  0 cm
    Hanging:  0,25 cm, Priority: 100
    Based on: Footnote Text</Description>
  </OriginalStyleDescription>
  <OriginalStyleDescription xmlns:xsi="http://www.w3.org/2001/XMLSchema-instance" xmlns:xsd="http://www.w3.org/2001/XMLSchema">
    <Name>71_Indicateur</Name>
    <Description>Centered, Space
    Before:  30 pt
    After:  28 pt, Priority: 100
    Based on: Normal</Description>
  </OriginalStyleDescription>
  <OriginalStyleDescription xmlns:xsi="http://www.w3.org/2001/XMLSchema-instance" xmlns:xsd="http://www.w3.org/2001/XMLSchema">
    <Name>72_Alinea_droite</Name>
    <Description>Right, Space
    After:  12 pt, Priority: 100
    Based on: Normal</Description>
  </OriginalStyleDescription>
  <OriginalStyleDescription xmlns:xsi="http://www.w3.org/2001/XMLSchema-instance" xmlns:xsd="http://www.w3.org/2001/XMLSchema">
    <Name>73_Alinea_centre_gras</Name>
    <Description>Font: Bold, Centered, Space
    After:  12 pt, Priority: 100
    Based on: Normal</Description>
  </OriginalStyleDescription>
  <OriginalStyleDescription xmlns:xsi="http://www.w3.org/2001/XMLSchema-instance" xmlns:xsd="http://www.w3.org/2001/XMLSchema">
    <Name>74_Alinea_grand_espacement</Name>
    <Description>Justified, Space
    Before:  48 pt
    After:  12 pt, Priority: 100
    Based on: Normal</Description>
  </OriginalStyleDescription>
  <OriginalStyleDescription xmlns:xsi="http://www.w3.org/2001/XMLSchema-instance" xmlns:xsd="http://www.w3.org/2001/XMLSchema">
    <Name>80_Autre</Name>
    <Description>Justified, Space
    After:  12 pt
    Tab stops:  1 cm, Left
    Based on: Normal</Description>
  </OriginalStyleDescription>
  <OriginalStyleDescription xmlns:xsi="http://www.w3.org/2001/XMLSchema-instance" xmlns:xsd="http://www.w3.org/2001/XMLSchema">
    <Name>80_Table_Libre</Name>
    <Description>
    Based on: Normal</Description>
  </OriginalStyleDescription>
  <OriginalStyleDescription xmlns:xsi="http://www.w3.org/2001/XMLSchema-instance" xmlns:xsd="http://www.w3.org/2001/XMLSchema">
    <Name>90_Edition_provisoire_grande_marge</Name>
    <Description>Font: Bold, Centered, Space
    After:  28,35 pt, Priority: 100
    Based on: Normal</Description>
  </OriginalStyleDescription>
  <OriginalStyleDescription xmlns:xsi="http://www.w3.org/2001/XMLSchema-instance" xmlns:xsd="http://www.w3.org/2001/XMLSchema">
    <Name>91_Edition_provisoire</Name>
    <Description>Font: Bold, Centered, Space
    After:  28,35 pt, Priority: 100
    Based on: Normal</Description>
  </OriginalStyleDescription>
  <OriginalStyleDescription xmlns:xsi="http://www.w3.org/2001/XMLSchema-instance" xmlns:xsd="http://www.w3.org/2001/XMLSchema">
    <Name>92_Document_travail</Name>
    <Description>Font: Bold, Space
    After:  28,35 pt, Priority: 100
    Based on: Normal</Description>
  </OriginalStyleDescription>
  <OriginalStyleDescription xmlns:xsi="http://www.w3.org/2001/XMLSchema-instance" xmlns:xsd="http://www.w3.org/2001/XMLSchema">
    <Name>93_Confidentiel</Name>
    <Description>Font: 16 pt, Bold, Centered, Space
    After:  45,35 pt, Priority: 100
    Based on: Normal</Description>
  </OriginalStyleDescription>
  <OriginalStyleDescription xmlns:xsi="http://www.w3.org/2001/XMLSchema-instance" xmlns:xsd="http://www.w3.org/2001/XMLSchema">
    <Name>93_Titre_definitif</Name>
    <Description>Centered, Space
    After:  12 pt, Priority: 100
    Based on: Normal</Description>
  </OriginalStyleDescription>
  <OriginalStyleDescription xmlns:xsi="http://www.w3.org/2001/XMLSchema-instance" xmlns:xsd="http://www.w3.org/2001/XMLSchema">
    <Name>BottomAnchorRightImage</Name>
    <Description>Indent:
    Left:  -2 cm, Space
    After:  10 pt, Priority: 100
    Based on: Normal</Description>
  </OriginalStyleDescription>
  <OriginalStyleDescription xmlns:xsi="http://www.w3.org/2001/XMLSchema-instance" xmlns:xsd="http://www.w3.org/2001/XMLSchema">
    <Name>Default Paragraph Font</Name>
    <Description>Style: Hide until used, Priority: 2</Description>
  </OriginalStyleDescription>
  <OriginalStyleDescription xmlns:xsi="http://www.w3.org/2001/XMLSchema-instance" xmlns:xsd="http://www.w3.org/2001/XMLSchema">
    <Name>Endnote Reference</Name>
    <Description>Font: Not Bold, Not Italic, Font color: Auto, Style: Quick Style, Priority: 100
    Based on: Default Paragraph Font</Description>
  </OriginalStyleDescription>
  <OriginalStyleDescription xmlns:xsi="http://www.w3.org/2001/XMLSchema-instance" xmlns:xsd="http://www.w3.org/2001/XMLSchema">
    <Name>Endnote Text</Name>
    <Description>Font: 10 pt, Indent:
    Left:  0 cm
    Hanging:  0,95 cm, Justified, Space
    After:  10 pt
    Tab stops:  0,95 cm, Left, Priority: 100
    Based on: Normal</Description>
  </OriginalStyleDescription>
  <OriginalStyleDescription xmlns:xsi="http://www.w3.org/2001/XMLSchema-instance" xmlns:xsd="http://www.w3.org/2001/XMLSchema">
    <Name>Footer</Name>
    <Description>
    Tab stops:  7,62 cm, Centered +  15,24 cm, Right, Priority: 100
    Based on: Normal</Description>
  </OriginalStyleDescription>
  <OriginalStyleDescription xmlns:xsi="http://www.w3.org/2001/XMLSchema-instance" xmlns:xsd="http://www.w3.org/2001/XMLSchema">
    <Name>FooterBoldCharacterStyle</Name>
    <Description>Font: Bold, Priority: 100
    Based on: Default Paragraph Font</Description>
  </OriginalStyleDescription>
  <OriginalStyleDescription xmlns:xsi="http://www.w3.org/2001/XMLSchema-instance" xmlns:xsd="http://www.w3.org/2001/XMLSchema">
    <Name>FooterCharacterStyle</Name>
    <Description>Font: Not Bold, Priority: 100
    Based on: Default Paragraph Font</Description>
  </OriginalStyleDescription>
  <OriginalStyleDescription xmlns:xsi="http://www.w3.org/2001/XMLSchema-instance" xmlns:xsd="http://www.w3.org/2001/XMLSchema">
    <Name>FooterProvisoryCharacterStyle</Name>
    <Description>Font: 10 pt, Bold, Priority: 100
    Based on: Default Paragraph Font</Description>
  </OriginalStyleDescription>
  <OriginalStyleDescription xmlns:xsi="http://www.w3.org/2001/XMLSchema-instance" xmlns:xsd="http://www.w3.org/2001/XMLSchema">
    <Name>Footnote Reference</Name>
    <Description>Font: Not Bold, Not Italic, Font color: Auto, Superscript, Style: Quick Style, Priority: 100
    Based on: Default Paragraph Font</Description>
  </OriginalStyleDescription>
  <OriginalStyleDescription xmlns:xsi="http://www.w3.org/2001/XMLSchema-instance" xmlns:xsd="http://www.w3.org/2001/XMLSchema">
    <Name>Footnote Text</Name>
    <Description>Font: 10 pt, Indent:
    Left:  0 cm
    Hanging:  0,95 cm, Justified, Space
    After:  10 pt
    Tab stops:  0,95 cm, Left, Priority: 100
    Based on: Normal</Description>
  </OriginalStyleDescription>
  <OriginalStyleDescription xmlns:xsi="http://www.w3.org/2001/XMLSchema-instance" xmlns:xsd="http://www.w3.org/2001/XMLSchema">
    <Name>Header</Name>
    <Description>Font: 8 pt, Centered
    Tab stops:  7,62 cm, Centered +  15,24 cm, Right, Priority: 100
    Based on: Normal</Description>
  </OriginalStyleDescription>
  <OriginalStyleDescription xmlns:xsi="http://www.w3.org/2001/XMLSchema-instance" xmlns:xsd="http://www.w3.org/2001/XMLSchema">
    <Name>Hyperlink</Name>
    <Description>Font: Not Bold, Not Italic, Font color: Custom Color(RGB(0;0;110)), Style: Quick Style, Priority: 100
    Based on: Default Paragraph Font</Description>
  </OriginalStyleDescription>
  <OriginalStyleDescription xmlns:xsi="http://www.w3.org/2001/XMLSchema-instance" xmlns:xsd="http://www.w3.org/2001/XMLSchema">
    <Name>No List</Name>
    <Description>Priority: 100</Description>
  </OriginalStyleDescription>
  <OriginalStyleDescription xmlns:xsi="http://www.w3.org/2001/XMLSchema-instance" xmlns:xsd="http://www.w3.org/2001/XMLSchema">
    <Name>Normal</Name>
    <Description>Font: (Default) Times New Roman, 12,5 pt, Left
    Line spacing:  1,5 lines, Widow/Orphan control, Priority: 100</Description>
  </OriginalStyleDescription>
  <OriginalStyleDescription xmlns:xsi="http://www.w3.org/2001/XMLSchema-instance" xmlns:xsd="http://www.w3.org/2001/XMLSchema">
    <Name>Page Number</Name>
    <Description>Font: Bold, Priority: 100
    Based on: Default Paragraph Font</Description>
  </OriginalStyleDescription>
  <OriginalStyleDescription xmlns:xsi="http://www.w3.org/2001/XMLSchema-instance" xmlns:xsd="http://www.w3.org/2001/XMLSchema">
    <Name>Placeholder Text</Name>
    <Description>Font: Not Bold, Not Italic, Style: Quick Style, Priority: 100
    Based on: Default Paragraph Font</Description>
  </OriginalStyleDescription>
  <OriginalStyleDescription xmlns:xsi="http://www.w3.org/2001/XMLSchema-instance" xmlns:xsd="http://www.w3.org/2001/XMLSchema">
    <Name>RAP_Logo_Image</Name>
    <Description>Font: (Default) Arial, 7 pt, Bold, Indent:
    Left:  1,75 cm, Centered
    Tab stops:  8 cm, Centered +  16 cm, Right, Priority: 100
    Based on: Normal</Description>
  </OriginalStyleDescription>
  <OriginalStyleDescription xmlns:xsi="http://www.w3.org/2001/XMLSchema-instance" xmlns:xsd="http://www.w3.org/2001/XMLSchema">
    <Name>RAP_Logo_Texte</Name>
    <Description>Indent:
    Left:  0,5 cm
    First line:  0,6 cm, Left, Space
    After:  6 pt
    Tab stops:  0,6 cm, Centered +  1,4 cm, Left, Priority: 100
    Based on: RAP_Logo_Image</Description>
  </OriginalStyleDescription>
  <OriginalStyleDescription xmlns:xsi="http://www.w3.org/2001/XMLSchema-instance" xmlns:xsd="http://www.w3.org/2001/XMLSchema">
    <Name>SuperscriptStyle</Name>
    <Description>Superscript, Priority: 100
    Based on: Default Paragraph Font</Description>
  </OriginalStyleDescription>
  <OriginalStyleDescription xmlns:xsi="http://www.w3.org/2001/XMLSchema-instance" xmlns:xsd="http://www.w3.org/2001/XMLSchema">
    <Name>Table Normal</Name>
    <Description>Font: (Default) Times New Roman, Left
    Line spacing:  Multiple 1,15 li, Space
    After:  10 pt, Widow/Orphan control, Priority: 100</Description>
  </OriginalStyleDescription>
  <OriginalStyleDescription xmlns:xsi="http://www.w3.org/2001/XMLSchema-instance" xmlns:xsd="http://www.w3.org/2001/XMLSchema">
    <Name>TableBoldBorder</Name>
    <Description>Top: Auto + Bottom: Auto + Left: Auto + Right: Auto, Center, Box: (Single solid line, Auto,  2,25 pt Line width), Priority: 100
    Based on: Table Normal</Description>
  </OriginalStyleDescription>
  <OriginalStyleDescription xmlns:xsi="http://www.w3.org/2001/XMLSchema-instance" xmlns:xsd="http://www.w3.org/2001/XMLSchema">
    <Name>TableBoldWOMBorder</Name>
    <Description>Top: Auto + Bottom: Auto + Left: Auto + Right: Auto, Center, Box: (Single solid line, Auto,  2,25 pt Line width), Priority: 100
    Based on: Table Normal</Description>
  </OriginalStyleDescription>
  <OriginalStyleDescription xmlns:xsi="http://www.w3.org/2001/XMLSchema-instance" xmlns:xsd="http://www.w3.org/2001/XMLSchema">
    <Name>TableBorder</Name>
    <Description>Top: Auto + Bottom: Auto + Left: Auto + Right: Auto, Box: (Single solid line, Auto,  0,5 pt Line width), Priority: 100
    Based on: Table Normal</Description>
  </OriginalStyleDescription>
  <OriginalStyleDescription xmlns:xsi="http://www.w3.org/2001/XMLSchema-instance" xmlns:xsd="http://www.w3.org/2001/XMLSchema">
    <Name>TableBorderWithoutInside</Name>
    <Description>Top: Auto + Bottom: Auto + Left: Auto + Right: Auto, Center, Top: (No border), Bottom: (No border), Priority: 100
    Based on: Table Normal</Description>
  </OriginalStyleDescription>
  <OriginalStyleDescription xmlns:xsi="http://www.w3.org/2001/XMLSchema-instance" xmlns:xsd="http://www.w3.org/2001/XMLSchema">
    <Name>TableIndent</Name>
    <Description> -1 cm, Top: Auto + Bottom: Auto + Left: Auto + Right: Auto, Priority: 100
    Based on: Table Normal</Description>
  </OriginalStyleDescription>
  <OriginalStyleDescription xmlns:xsi="http://www.w3.org/2001/XMLSchema-instance" xmlns:xsd="http://www.w3.org/2001/XMLSchema">
    <Name>TableNoBorder</Name>
    <Description>Top: Auto + Bottom: Auto + Left: Auto + Right: Auto, Box: (No border), Priority: 100
    Based on: Table Normal</Description>
  </OriginalStyleDescription>
  <OriginalStyleDescription xmlns:xsi="http://www.w3.org/2001/XMLSchema-instance" xmlns:xsd="http://www.w3.org/2001/XMLSchema">
    <Name>TextBoxStyle</Name>
    <Description>Font: 24 pt, Centered, Space
    Before:  5 pt, Priority: 100
    Based on: Normal</Description>
  </OriginalStyleDescription>
  <OriginalStyleDescription xmlns:xsi="http://www.w3.org/2001/XMLSchema-instance" xmlns:xsd="http://www.w3.org/2001/XMLSchema">
    <Name>TOC 1</Name>
    <Description>Font: 10,5 pt
    Right:  2 cm, Space
    Before:  12 pt, Priority: 100
    Based on: Normal</Description>
  </OriginalStyleDescription>
  <OriginalStyleDescription xmlns:xsi="http://www.w3.org/2001/XMLSchema-instance" xmlns:xsd="http://www.w3.org/2001/XMLSchema">
    <Name>TOC 2</Name>
    <Description>Font: 10,5 pt, Indent:
    Left:  0,44 cm
    Right:  2 cm, Priority: 100
    Based on: Normal</Description>
  </OriginalStyleDescription>
  <OriginalStyleDescription xmlns:xsi="http://www.w3.org/2001/XMLSchema-instance" xmlns:xsd="http://www.w3.org/2001/XMLSchema">
    <Name>TOC 3</Name>
    <Description>Font: 10,5 pt, Indent:
    Left:  0,88 cm
    Right:  2 cm, Priority: 100
    Based on: Normal</Description>
  </OriginalStyleDescription>
  <OriginalStyleDescription xmlns:xsi="http://www.w3.org/2001/XMLSchema-instance" xmlns:xsd="http://www.w3.org/2001/XMLSchema">
    <Name>TOC 4</Name>
    <Description>Font: 10,5 pt, Indent:
    Left:  1,32 cm
    Right:  2 cm, Priority: 100
    Based on: Normal</Description>
  </OriginalStyleDescription>
  <OriginalStyleDescription xmlns:xsi="http://www.w3.org/2001/XMLSchema-instance" xmlns:xsd="http://www.w3.org/2001/XMLSchema">
    <Name>TOC 5</Name>
    <Description>Font: 10,5 pt, Indent:
    Left:  1,76 cm
    Right:  2 cm, Priority: 100
    Based on: Normal</Description>
  </OriginalStyleDescription>
  <OriginalStyleDescription xmlns:xsi="http://www.w3.org/2001/XMLSchema-instance" xmlns:xsd="http://www.w3.org/2001/XMLSchema">
    <Name>TOC 6</Name>
    <Description>Font: 10,5 pt, Indent:
    Left:  2,2 cm
    Right:  2 cm, Priority: 100
    Based on: Normal</Description>
  </OriginalStyleDescription>
  <OriginalStyleDescription xmlns:xsi="http://www.w3.org/2001/XMLSchema-instance" xmlns:xsd="http://www.w3.org/2001/XMLSchema">
    <Name>TOC 7</Name>
    <Description>Font: 10,5 pt, Indent:
    Left:  2,65 cm
    Right:  2 cm, Priority: 100
    Based on: Normal</Description>
  </OriginalStyleDescription>
  <OriginalStyleDescription xmlns:xsi="http://www.w3.org/2001/XMLSchema-instance" xmlns:xsd="http://www.w3.org/2001/XMLSchema">
    <Name>TOC 8</Name>
    <Description>Font: 10,5 pt, Indent:
    Left:  3,09 cm
    Right:  2 cm, Priority: 100
    Based on: Normal</Description>
  </OriginalStyleDescription>
  <OriginalStyleDescription xmlns:xsi="http://www.w3.org/2001/XMLSchema-instance" xmlns:xsd="http://www.w3.org/2001/XMLSchema">
    <Name>TOC 9</Name>
    <Description>Font: 10,5 pt, Indent:
    Left:  3,53 cm
    Right:  2 cm, Priority: 100
    Based on: Normal</Description>
  </OriginalStyleDescription>
  <OriginalStyleDescription xmlns:xsi="http://www.w3.org/2001/XMLSchema-instance" xmlns:xsd="http://www.w3.org/2001/XMLSchema">
    <Name>Vert_Align_Center</Name>
    <Description> -1 cm, Top: Auto + Bottom: Auto + Left: Auto + Right: Auto, Center, Box: (Single solid line, Auto,  0,5 pt Line width), Priority: 100
    Based on: Table Normal</Description>
  </OriginalStyleDescription>
  <OriginalStyleDescription xmlns:xsi="http://www.w3.org/2001/XMLSchema-instance" xmlns:xsd="http://www.w3.org/2001/XMLSchema">
    <Name>Watermark</Name>
    <Description>Font: 18 pt, Font color: Custom Color(RGB(188;188;188)), Centered, Space
    After:  10 pt, Priority: 100
    Based on: Normal</Description>
  </OriginalStyleDescription>
</OriginalStyleDescriptions>
</file>

<file path=customXml/item6.xml><?xml version="1.0" encoding="utf-8"?>
<TOCProperties>
  <IsVademecum>1</IsVademecum>
  <TOCPositionTag BreakPage="0" PositionLabel="First_Indicator" SearchCriteria="first" StyleName="71_Indicateur">ccTag11</TOCPositionTag>
</TOCProperties>
</file>

<file path=customXml/item7.xml><?xml version="1.0" encoding="utf-8"?>
<XMLPartCheckSums>
  <CheckSum XMLPart="OriginalStyles">0542BAB51541913CA668D87B98EE985C</CheckSum>
  <CheckSum XMLPart="template-info">319802DC7640470347EF977F204236ED</CheckSum>
  <CheckSum XMLPart="TOCProperties">1B06C1AE4869A73F3760623F765C3AA2</CheckSum>
  <CheckSum XMLPart="thesaurus">B45AE51084ED29B0C3AFDC87C18C758B</CheckSum>
  <CheckSum XMLPart="doc_ref">8286ED7ED8355544BBED59DCADF45C72</CheckSum>
  <CheckSum XMLPart="GendocCanevasStyleMapping">A2BDF8CDA4D858F358B416B0D56BEB99</CheckSum>
  <CheckSum XMLPart="ValidationRuleDefinitions">7626C3DE4D6241E289296760511211B2</CheckSum>
  <CheckSum XMLPart="OriginalStyleDescriptions">6210C7F7F4E954356217A5501B3FA67D</CheckSum>
</XMLPartCheckSums>
</file>

<file path=customXml/item8.xml><?xml version="1.0" encoding="utf-8"?>
<thesaurus lang="et">
  <blockcontents>
    <blockcontent id="600067 - HeaderText">$$600067 - HeaderText$$</blockcontent>
    <blockcontent id="600003 - HeaderTextAffJointes">$$600003 - HeaderTextAffJointes$$</blockcontent>
    <blockcontent id="600002 - HeaderTextAffaire"> – JUHTUM </blockcontent>
    <blockcontent id="600004 - rtfProvisoryMention">ESIALGNE TÕLGE </blockcontent>
    <blockcontent id="600068 - rtfTitre_AGM">$$600068 - rtfTitre_AGM$$</blockcontent>
    <blockcontent id="600069 - rtfTitre_AGF">$$600069 - rtfTitre_AGF$$</blockcontent>
    <blockcontent id="600070 - rtfPresentation">$$600070 - rtfPresentation$$</blockcontent>
    <blockcontent id="600071 - rtfLangueOrig">Algkeel: </blockcontent>
    <blockcontent id="600072 - rtfLangueOrig">Algkeel: </blockcontent>
    <blockcontent id="600000 - document_language">ET</blockcontent>
    <blockcontent id="600074 - rtfNumAffAvis">$$600074 - rtfNumAffAvis$$</blockcontent>
    <blockcontent id="600073 - rtfNumAff">Kohtuasi </blockcontent>
    <blockcontent id="600076 - rtfNumAffJointesAvis">$$600076 - rtfNumAffJointesAvis$$</blockcontent>
    <blockcontent id="600075 - rtfNumAffJointes">$$600075 - rtfNumAffJointes$$</blockcontent>
    <blockcontent id="600077 - AffEngagePar">$$600077 - AffEngagePar$$</blockcontent>
    <blockcontent id="600014 - comma">,</blockcontent>
    <blockcontent id="600078 - ">$$600078 - $$</blockcontent>
    <blockcontent id="600015 - PartContre">versus</blockcontent>
    <blockcontent id="600016 - PartPresence">menetluses osalesid:</blockcontent>
    <blockcontent id="600017 - PartEt">ja</blockcontent>
    <blockcontent id="600079 - rtfJuridNationale">$$600079 - rtfJuridNationale$$</blockcontent>
    <blockcontent id="600080 - open_parenthesisJN"> (</blockcontent>
    <blockcontent id="600081 - close_parenthesisJN">)]</blockcontent>
    <blockcontent id="600082 - rtfMotclePrefix">$$600082 - rtfMotclePrefix$$</blockcontent>
    <blockcontent id="600083 - rtfMotcleSuffix">$$600083 - rtfMotcleSuffix$$</blockcontent>
    <blockcontent id="600085 - corpus">$$600085 - corpus$$</blockcontent>
  </blockcontents>
</thesaurus>
</file>

<file path=customXml/item9.xml><?xml version="1.0" encoding="utf-8"?>
<GendocCanevasStyleMapping>
  <Style>
    <StyleId>516</StyleId>
    <GendocStyle>FootnoteReference</GendocStyle>
    <CanevasStyle>FootnoteReference0</CanevasStyle>
    <Organization>C</Organization>
    <IsBold>false</IsBold>
    <IsItalic>false</IsItalic>
    <IsSuperscript>false</IsSuperscript>
    <TemplateKey/>
  </Style>
  <Style>
    <StyleId>1</StyleId>
    <GendocStyle>FooterCharacterStyle</GendocStyle>
    <CanevasStyle/>
    <Organization>C</Organization>
    <IsBold>false</IsBold>
    <IsItalic>false</IsItalic>
    <IsSuperscript>false</IsSuperscript>
    <TemplateKey/>
  </Style>
  <Style>
    <StyleId>2</StyleId>
    <GendocStyle>FooterBoldCharacterStyle</GendocStyle>
    <CanevasStyle/>
    <Organization>C</Organization>
    <IsBold>false</IsBold>
    <IsItalic>false</IsItalic>
    <IsSuperscript>false</IsSuperscript>
    <TemplateKey/>
  </Style>
  <Style>
    <StyleId>3</StyleId>
    <GendocStyle>FooterProvisoryCharacterStyle</GendocStyle>
    <CanevasStyle/>
    <Organization>C</Organization>
    <IsBold>false</IsBold>
    <IsItalic>false</IsItalic>
    <IsSuperscript>false</IsSuperscript>
    <TemplateKey/>
  </Style>
  <Style>
    <StyleId>4</StyleId>
    <GendocStyle>PageNumber</GendocStyle>
    <CanevasStyle/>
    <Organization>C</Organization>
    <IsBold>false</IsBold>
    <IsItalic>false</IsItalic>
    <IsSuperscript>false</IsSuperscript>
    <TemplateKey/>
  </Style>
  <Style>
    <StyleId>5</StyleId>
    <GendocStyle>BottomAnchorRightImage</GendocStyle>
    <CanevasStyle/>
    <Organization>C</Organization>
    <IsBold>false</IsBold>
    <IsItalic>false</IsItalic>
    <IsSuperscript>false</IsSuperscript>
    <TemplateKey/>
  </Style>
  <Style>
    <StyleId>6</StyleId>
    <GendocStyle>Signature4</GendocStyle>
    <CanevasStyle/>
    <Organization>C</Organization>
    <IsBold>false</IsBold>
    <IsItalic>false</IsItalic>
    <IsSuperscript>false</IsSuperscript>
    <TemplateKey/>
  </Style>
  <Style>
    <StyleId>7</StyleId>
    <GendocStyle>TextBoxStyle</GendocStyle>
    <CanevasStyle/>
    <Organization>C</Organization>
    <IsBold>false</IsBold>
    <IsItalic>false</IsItalic>
    <IsSuperscript>false</IsSuperscript>
    <TemplateKey/>
  </Style>
  <Style>
    <StyleId>8</StyleId>
    <GendocStyle>48GaucheBold</GendocStyle>
    <CanevasStyle/>
    <Organization>C</Organization>
    <IsBold>false</IsBold>
    <IsItalic>false</IsItalic>
    <IsSuperscript>false</IsSuperscript>
    <TemplateKey/>
  </Style>
  <Style>
    <StyleId>9</StyleId>
    <GendocStyle>Watermark</GendocStyle>
    <CanevasStyle/>
    <Organization>C</Organization>
    <IsBold>false</IsBold>
    <IsItalic>false</IsItalic>
    <IsSuperscript>false</IsSuperscript>
    <TemplateKey/>
  </Style>
  <Style>
    <StyleId>10</StyleId>
    <GendocStyle>93Confidentiel</GendocStyle>
    <CanevasStyle/>
    <Organization>C</Organization>
    <IsBold>false</IsBold>
    <IsItalic>false</IsItalic>
    <IsSuperscript>false</IsSuperscript>
    <TemplateKey/>
  </Style>
  <Style>
    <StyleId>11</StyleId>
    <GendocStyle>56RPGaucheGrandBold</GendocStyle>
    <CanevasStyle/>
    <Organization>C</Organization>
    <IsBold>false</IsBold>
    <IsItalic>false</IsItalic>
    <IsSuperscript>false</IsSuperscript>
    <TemplateKey/>
  </Style>
  <Style>
    <StyleId>12</StyleId>
    <GendocStyle>80Autre</GendocStyle>
    <CanevasStyle>27Autre</CanevasStyle>
    <Organization>C</Organization>
    <IsBold>false</IsBold>
    <IsItalic>false</IsItalic>
    <IsSuperscript>false</IsSuperscript>
    <TemplateKey/>
  </Style>
  <Style>
    <StyleId>13</StyleId>
    <GendocStyle>56RPGaucheGrand</GendocStyle>
    <CanevasStyle/>
    <Organization>C</Organization>
    <IsBold>false</IsBold>
    <IsItalic>false</IsItalic>
    <IsSuperscript>false</IsSuperscript>
    <TemplateKey/>
  </Style>
  <Style>
    <StyleId>14</StyleId>
    <GendocStyle>56GauchePetitBold</GendocStyle>
    <CanevasStyle/>
    <Organization>C</Organization>
    <IsBold>false</IsBold>
    <IsItalic>false</IsItalic>
    <IsSuperscript>false</IsSuperscript>
    <TemplateKey/>
  </Style>
  <Style>
    <StyleId>15</StyleId>
    <GendocStyle>56GauchePetit</GendocStyle>
    <CanevasStyle/>
    <Organization>C</Organization>
    <IsBold>false</IsBold>
    <IsItalic>false</IsItalic>
    <IsSuperscript>false</IsSuperscript>
    <TemplateKey/>
  </Style>
  <Style>
    <StyleId>16</StyleId>
    <GendocStyle>56GauchePetitCentrer</GendocStyle>
    <CanevasStyle/>
    <Organization>C</Organization>
    <IsBold>false</IsBold>
    <IsItalic>false</IsItalic>
    <IsSuperscript>false</IsSuperscript>
    <TemplateKey/>
  </Style>
  <Style>
    <StyleId>17</StyleId>
    <GendocStyle>56GauchePetitCenterBold</GendocStyle>
    <CanevasStyle/>
    <Organization>C</Organization>
    <IsBold>false</IsBold>
    <IsItalic>false</IsItalic>
    <IsSuperscript>false</IsSuperscript>
    <TemplateKey/>
  </Style>
  <Style>
    <StyleId>18</StyleId>
    <GendocStyle>19RPCentreGras</GendocStyle>
    <CanevasStyle/>
    <Organization>C</Organization>
    <IsBold>false</IsBold>
    <IsItalic>false</IsItalic>
    <IsSuperscript>false</IsSuperscript>
    <TemplateKey/>
  </Style>
  <Style>
    <StyleId>19</StyleId>
    <GendocStyle>55GauchePetitEncadre</GendocStyle>
    <CanevasStyle/>
    <Organization>C</Organization>
    <IsBold>false</IsBold>
    <IsItalic>false</IsItalic>
    <IsSuperscript>false</IsSuperscript>
    <TemplateKey/>
  </Style>
  <Style>
    <StyleId>20</StyleId>
    <GendocStyle>53GaucheEncadre</GendocStyle>
    <CanevasStyle/>
    <Organization>C</Organization>
    <IsBold>false</IsBold>
    <IsItalic>false</IsItalic>
    <IsSuperscript>false</IsSuperscript>
    <TemplateKey/>
  </Style>
  <Style>
    <StyleId>21</StyleId>
    <GendocStyle>53Gauche</GendocStyle>
    <CanevasStyle/>
    <Organization>C</Organization>
    <IsBold>false</IsBold>
    <IsItalic>false</IsItalic>
    <IsSuperscript>false</IsSuperscript>
    <TemplateKey/>
  </Style>
  <Style>
    <StyleId>22</StyleId>
    <GendocStyle>55GauchePetitSouligne</GendocStyle>
    <CanevasStyle/>
    <Organization>C</Organization>
    <IsBold>false</IsBold>
    <IsItalic>false</IsItalic>
    <IsSuperscript>false</IsSuperscript>
    <TemplateKey/>
  </Style>
  <Style>
    <StyleId>23</StyleId>
    <GendocStyle>55GauchePetit</GendocStyle>
    <CanevasStyle/>
    <Organization>C</Organization>
    <IsBold>false</IsBold>
    <IsItalic>false</IsItalic>
    <IsSuperscript>false</IsSuperscript>
    <TemplateKey/>
  </Style>
  <Style>
    <StyleId>24</StyleId>
    <GendocStyle>48AlineaJustifieBold</GendocStyle>
    <CanevasStyle/>
    <Organization>C</Organization>
    <IsBold>false</IsBold>
    <IsItalic>false</IsItalic>
    <IsSuperscript>false</IsSuperscript>
    <TemplateKey/>
  </Style>
  <Style>
    <StyleId>25</StyleId>
    <GendocStyle>TableIndent</GendocStyle>
    <CanevasStyle/>
    <Organization>C</Organization>
    <IsBold>false</IsBold>
    <IsItalic>false</IsItalic>
    <IsSuperscript>false</IsSuperscript>
    <TemplateKey/>
  </Style>
  <Style>
    <StyleId>26</StyleId>
    <GendocStyle>VertAlignCenter</GendocStyle>
    <CanevasStyle/>
    <Organization>C</Organization>
    <IsBold>false</IsBold>
    <IsItalic>false</IsItalic>
    <IsSuperscript>false</IsSuperscript>
    <TemplateKey/>
  </Style>
  <Style>
    <StyleId>27</StyleId>
    <GendocStyle>TableBorder</GendocStyle>
    <CanevasStyle/>
    <Organization>C</Organization>
    <IsBold>false</IsBold>
    <IsItalic>false</IsItalic>
    <IsSuperscript>false</IsSuperscript>
    <TemplateKey/>
  </Style>
  <Style>
    <StyleId>28</StyleId>
    <GendocStyle>TableBorderWithoutInside</GendocStyle>
    <CanevasStyle/>
    <Organization>C</Organization>
    <IsBold>false</IsBold>
    <IsItalic>false</IsItalic>
    <IsSuperscript>false</IsSuperscript>
    <TemplateKey/>
  </Style>
  <Style>
    <StyleId>29</StyleId>
    <GendocStyle>01PointnumeroteAltN</GendocStyle>
    <CanevasStyle/>
    <Organization>C</Organization>
    <IsBold>false</IsBold>
    <IsItalic>false</IsItalic>
    <IsSuperscript>false</IsSuperscript>
    <TemplateKey/>
  </Style>
  <Style>
    <StyleId>30</StyleId>
    <GendocStyle>02AlineaAltA</GendocStyle>
    <CanevasStyle/>
    <Organization>C</Organization>
    <IsBold>false</IsBold>
    <IsItalic>false</IsItalic>
    <IsSuperscript>false</IsSuperscript>
    <TemplateKey/>
  </Style>
  <Style>
    <StyleId>31</StyleId>
    <GendocStyle>03Tiretlong</GendocStyle>
    <CanevasStyle/>
    <Organization>C</Organization>
    <IsBold>false</IsBold>
    <IsItalic>false</IsItalic>
    <IsSuperscript>false</IsSuperscript>
    <TemplateKey/>
  </Style>
  <Style>
    <StyleId>32</StyleId>
    <GendocStyle>04Titre1</GendocStyle>
    <CanevasStyle/>
    <Organization>C</Organization>
    <IsBold>false</IsBold>
    <IsItalic>false</IsItalic>
    <IsSuperscript>false</IsSuperscript>
    <TemplateKey/>
  </Style>
  <Style>
    <StyleId>33</StyleId>
    <GendocStyle>05Titre2</GendocStyle>
    <CanevasStyle/>
    <Organization>C</Organization>
    <IsBold>false</IsBold>
    <IsItalic>false</IsItalic>
    <IsSuperscript>false</IsSuperscript>
    <TemplateKey/>
  </Style>
  <Style>
    <StyleId>34</StyleId>
    <GendocStyle>06Titre3</GendocStyle>
    <CanevasStyle/>
    <Organization>C</Organization>
    <IsBold>false</IsBold>
    <IsItalic>false</IsItalic>
    <IsSuperscript>false</IsSuperscript>
    <TemplateKey/>
  </Style>
  <Style>
    <StyleId>35</StyleId>
    <GendocStyle>07Titre4</GendocStyle>
    <CanevasStyle/>
    <Organization>C</Organization>
    <IsBold>false</IsBold>
    <IsItalic>false</IsItalic>
    <IsSuperscript>false</IsSuperscript>
    <TemplateKey/>
  </Style>
  <Style>
    <StyleId>36</StyleId>
    <GendocStyle>08Dispositif</GendocStyle>
    <CanevasStyle/>
    <Organization>C</Organization>
    <IsBold>false</IsBold>
    <IsItalic>false</IsItalic>
    <IsSuperscript>false</IsSuperscript>
    <TemplateKey/>
  </Style>
  <Style>
    <StyleId>37</StyleId>
    <GendocStyle>09Marge0avecretrait</GendocStyle>
    <CanevasStyle/>
    <Organization>C</Organization>
    <IsBold>false</IsBold>
    <IsItalic>false</IsItalic>
    <IsSuperscript>false</IsSuperscript>
    <TemplateKey/>
  </Style>
  <Style>
    <StyleId>38</StyleId>
    <GendocStyle>10Marge1</GendocStyle>
    <CanevasStyle/>
    <Organization>C</Organization>
    <IsBold>false</IsBold>
    <IsItalic>false</IsItalic>
    <IsSuperscript>false</IsSuperscript>
    <TemplateKey/>
  </Style>
  <Style>
    <StyleId>39</StyleId>
    <GendocStyle>11Marge1avecretrait</GendocStyle>
    <CanevasStyle/>
    <Organization>C</Organization>
    <IsBold>false</IsBold>
    <IsItalic>false</IsItalic>
    <IsSuperscript>false</IsSuperscript>
    <TemplateKey/>
  </Style>
  <Style>
    <StyleId>40</StyleId>
    <GendocStyle>12Marge1avectiretlong</GendocStyle>
    <CanevasStyle/>
    <Organization>C</Organization>
    <IsBold>false</IsBold>
    <IsItalic>false</IsItalic>
    <IsSuperscript>false</IsSuperscript>
    <TemplateKey/>
  </Style>
  <Style>
    <StyleId>41</StyleId>
    <GendocStyle>13Marge2</GendocStyle>
    <CanevasStyle/>
    <Organization>C</Organization>
    <IsBold>false</IsBold>
    <IsItalic>false</IsItalic>
    <IsSuperscript>false</IsSuperscript>
    <TemplateKey/>
  </Style>
  <Style>
    <StyleId>42</StyleId>
    <GendocStyle>14Marge2avecretrait</GendocStyle>
    <CanevasStyle/>
    <Organization>C</Organization>
    <IsBold>false</IsBold>
    <IsItalic>false</IsItalic>
    <IsSuperscript>false</IsSuperscript>
    <TemplateKey/>
  </Style>
  <Style>
    <StyleId>43</StyleId>
    <GendocStyle>15Marge2avectiretlong</GendocStyle>
    <CanevasStyle/>
    <Organization>C</Organization>
    <IsBold>false</IsBold>
    <IsItalic>false</IsItalic>
    <IsSuperscript>false</IsSuperscript>
    <TemplateKey/>
  </Style>
  <Style>
    <StyleId>44</StyleId>
    <GendocStyle>16Marge3</GendocStyle>
    <CanevasStyle/>
    <Organization>C</Organization>
    <IsBold>false</IsBold>
    <IsItalic>false</IsItalic>
    <IsSuperscript>false</IsSuperscript>
    <TemplateKey/>
  </Style>
  <Style>
    <StyleId>45</StyleId>
    <GendocStyle>17Marge3avecretrait</GendocStyle>
    <CanevasStyle/>
    <Organization>C</Organization>
    <IsBold>false</IsBold>
    <IsItalic>false</IsItalic>
    <IsSuperscript>false</IsSuperscript>
    <TemplateKey/>
  </Style>
  <Style>
    <StyleId>46</StyleId>
    <GendocStyle>18Marge3avectiretlong</GendocStyle>
    <CanevasStyle/>
    <Organization>C</Organization>
    <IsBold>false</IsBold>
    <IsItalic>false</IsItalic>
    <IsSuperscript>false</IsSuperscript>
    <TemplateKey/>
  </Style>
  <Style>
    <StyleId>47</StyleId>
    <GendocStyle>19Centre</GendocStyle>
    <CanevasStyle/>
    <Organization>C</Organization>
    <IsBold>false</IsBold>
    <IsItalic>false</IsItalic>
    <IsSuperscript>false</IsSuperscript>
    <TemplateKey/>
  </Style>
  <Style>
    <StyleId>48</StyleId>
    <GendocStyle>20Centreitalique</GendocStyle>
    <CanevasStyle/>
    <Organization>C</Organization>
    <IsBold>false</IsBold>
    <IsItalic>false</IsItalic>
    <IsSuperscript>false</IsSuperscript>
    <TemplateKey/>
  </Style>
  <Style>
    <StyleId>49</StyleId>
    <GendocStyle>21Titre1</GendocStyle>
    <CanevasStyle/>
    <Organization>C</Organization>
    <IsBold>false</IsBold>
    <IsItalic>false</IsItalic>
    <IsSuperscript>false</IsSuperscript>
    <TemplateKey/>
  </Style>
  <Style>
    <StyleId>50</StyleId>
    <GendocStyle>22Titre2</GendocStyle>
    <CanevasStyle/>
    <Organization>C</Organization>
    <IsBold>false</IsBold>
    <IsItalic>false</IsItalic>
    <IsSuperscript>false</IsSuperscript>
    <TemplateKey/>
  </Style>
  <Style>
    <StyleId>51</StyleId>
    <GendocStyle>23Titre3</GendocStyle>
    <CanevasStyle/>
    <Organization>C</Organization>
    <IsBold>false</IsBold>
    <IsItalic>false</IsItalic>
    <IsSuperscript>false</IsSuperscript>
    <TemplateKey/>
  </Style>
  <Style>
    <StyleId>52</StyleId>
    <GendocStyle>24Titre4</GendocStyle>
    <CanevasStyle/>
    <Organization>C</Organization>
    <IsBold>false</IsBold>
    <IsItalic>false</IsItalic>
    <IsSuperscript>false</IsSuperscript>
    <TemplateKey/>
  </Style>
  <Style>
    <StyleId>53</StyleId>
    <GendocStyle>25Titre5</GendocStyle>
    <CanevasStyle/>
    <Organization>C</Organization>
    <IsBold>false</IsBold>
    <IsItalic>false</IsItalic>
    <IsSuperscript>false</IsSuperscript>
    <TemplateKey/>
  </Style>
  <Style>
    <StyleId>54</StyleId>
    <GendocStyle>26Titre6</GendocStyle>
    <CanevasStyle/>
    <Organization>C</Organization>
    <IsBold>false</IsBold>
    <IsItalic>false</IsItalic>
    <IsSuperscript>false</IsSuperscript>
    <TemplateKey/>
  </Style>
  <Style>
    <StyleId>55</StyleId>
    <GendocStyle>28Pointnumerotemanuel</GendocStyle>
    <CanevasStyle/>
    <Organization>C</Organization>
    <IsBold>false</IsBold>
    <IsItalic>false</IsItalic>
    <IsSuperscript>false</IsSuperscript>
    <TemplateKey/>
  </Style>
  <Style>
    <StyleId>56</StyleId>
    <GendocStyle>29Marge0doubleretrait</GendocStyle>
    <CanevasStyle/>
    <Organization>C</Organization>
    <IsBold>false</IsBold>
    <IsItalic>false</IsItalic>
    <IsSuperscript>false</IsSuperscript>
    <TemplateKey/>
  </Style>
  <Style>
    <StyleId>57</StyleId>
    <GendocStyle>30Dispositifalinea</GendocStyle>
    <CanevasStyle/>
    <Organization>C</Organization>
    <IsBold>false</IsBold>
    <IsItalic>false</IsItalic>
    <IsSuperscript>false</IsSuperscript>
    <TemplateKey/>
  </Style>
  <Style>
    <StyleId>58</StyleId>
    <GendocStyle>31Dispositiftiretlong</GendocStyle>
    <CanevasStyle/>
    <Organization>C</Organization>
    <IsBold>false</IsBold>
    <IsItalic>false</IsItalic>
    <IsSuperscript>false</IsSuperscript>
    <TemplateKey/>
  </Style>
  <Style>
    <StyleId>59</StyleId>
    <GendocStyle>32Dispositifmarge1</GendocStyle>
    <CanevasStyle/>
    <Organization>C</Organization>
    <IsBold>false</IsBold>
    <IsItalic>false</IsItalic>
    <IsSuperscript>false</IsSuperscript>
    <TemplateKey/>
  </Style>
  <Style>
    <StyleId>60</StyleId>
    <GendocStyle>33Dispositifmarge1avecretrait</GendocStyle>
    <CanevasStyle/>
    <Organization>C</Organization>
    <IsBold>false</IsBold>
    <IsItalic>false</IsItalic>
    <IsSuperscript>false</IsSuperscript>
    <TemplateKey/>
  </Style>
  <Style>
    <StyleId>61</StyleId>
    <GendocStyle>34Dispositifmarge1avectiretlong</GendocStyle>
    <CanevasStyle/>
    <Organization>C</Organization>
    <IsBold>false</IsBold>
    <IsItalic>false</IsItalic>
    <IsSuperscript>false</IsSuperscript>
    <TemplateKey/>
  </Style>
  <Style>
    <StyleId>62</StyleId>
    <GendocStyle>35Dispositifmarge2avecretrait</GendocStyle>
    <CanevasStyle/>
    <Organization>C</Organization>
    <IsBold>false</IsBold>
    <IsItalic>false</IsItalic>
    <IsSuperscript>false</IsSuperscript>
    <TemplateKey/>
  </Style>
  <Style>
    <StyleId>63</StyleId>
    <GendocStyle>36Dispositifmarge2avectiretlong</GendocStyle>
    <CanevasStyle/>
    <Organization>C</Organization>
    <IsBold>false</IsBold>
    <IsItalic>false</IsItalic>
    <IsSuperscript>false</IsSuperscript>
    <TemplateKey/>
  </Style>
  <Style>
    <StyleId>64</StyleId>
    <GendocStyle>37Dispositifmarge0doubleretrait</GendocStyle>
    <CanevasStyle/>
    <Organization>C</Organization>
    <IsBold>false</IsBold>
    <IsItalic>false</IsItalic>
    <IsSuperscript>false</IsSuperscript>
    <TemplateKey/>
  </Style>
  <Style>
    <StyleId>65</StyleId>
    <GendocStyle>38Marge1doubleretrait</GendocStyle>
    <CanevasStyle/>
    <Organization>C</Organization>
    <IsBold>false</IsBold>
    <IsItalic>false</IsItalic>
    <IsSuperscript>false</IsSuperscript>
    <TemplateKey/>
  </Style>
  <Style>
    <StyleId>66</StyleId>
    <GendocStyle>39Dispositifmarge1doubleretrait</GendocStyle>
    <CanevasStyle/>
    <Organization>C</Organization>
    <IsBold>false</IsBold>
    <IsItalic>false</IsItalic>
    <IsSuperscript>false</IsSuperscript>
    <TemplateKey/>
  </Style>
  <Style>
    <StyleId>67</StyleId>
    <GendocStyle>40Dispositifmarge0avecretrait</GendocStyle>
    <CanevasStyle/>
    <Organization>C</Organization>
    <IsBold>false</IsBold>
    <IsItalic>false</IsItalic>
    <IsSuperscript>false</IsSuperscript>
    <TemplateKey/>
  </Style>
  <Style>
    <StyleId>68</StyleId>
    <GendocStyle>41DispositifIntroduction</GendocStyle>
    <CanevasStyle/>
    <Organization>C</Organization>
    <IsBold>false</IsBold>
    <IsItalic>false</IsItalic>
    <IsSuperscript>false</IsSuperscript>
    <TemplateKey/>
  </Style>
  <Style>
    <StyleId>69</StyleId>
    <GendocStyle>42FootnoteLangue</GendocStyle>
    <CanevasStyle/>
    <Organization>C</Organization>
    <IsBold>false</IsBold>
    <IsItalic>false</IsItalic>
    <IsSuperscript>false</IsSuperscript>
    <TemplateKey/>
  </Style>
  <Style>
    <StyleId>70</StyleId>
    <GendocStyle>71Indicateur</GendocStyle>
    <CanevasStyle/>
    <Organization>C</Organization>
    <IsBold>false</IsBold>
    <IsItalic>false</IsItalic>
    <IsSuperscript>false</IsSuperscript>
    <TemplateKey/>
  </Style>
  <Style>
    <StyleId>71</StyleId>
    <GendocStyle>72Alineadroite</GendocStyle>
    <CanevasStyle/>
    <Organization>C</Organization>
    <IsBold>false</IsBold>
    <IsItalic>false</IsItalic>
    <IsSuperscript>false</IsSuperscript>
    <TemplateKey/>
  </Style>
  <Style>
    <StyleId>72</StyleId>
    <GendocStyle>73Alineacentregras</GendocStyle>
    <CanevasStyle/>
    <Organization>C</Organization>
    <IsBold>false</IsBold>
    <IsItalic>false</IsItalic>
    <IsSuperscript>false</IsSuperscript>
    <TemplateKey/>
  </Style>
  <Style>
    <StyleId>73</StyleId>
    <GendocStyle>74Alineagrandespacement</GendocStyle>
    <CanevasStyle/>
    <Organization>C</Organization>
    <IsBold>false</IsBold>
    <IsItalic>false</IsItalic>
    <IsSuperscript>false</IsSuperscript>
    <TemplateKey/>
  </Style>
  <Style>
    <StyleId>74</StyleId>
    <GendocStyle>75Debutdesmotifs</GendocStyle>
    <CanevasStyle/>
    <Organization>C</Organization>
    <IsBold>false</IsBold>
    <IsItalic>false</IsItalic>
    <IsSuperscript>false</IsSuperscript>
    <TemplateKey/>
  </Style>
  <Style>
    <StyleId>75</StyleId>
    <GendocStyle>77Signatures</GendocStyle>
    <CanevasStyle/>
    <Organization>C</Organization>
    <IsBold>false</IsBold>
    <IsItalic>false</IsItalic>
    <IsSuperscript>false</IsSuperscript>
    <TemplateKey/>
  </Style>
  <Style>
    <StyleId>76</StyleId>
    <GendocStyle>90Editionprovisoiregrandemarge</GendocStyle>
    <CanevasStyle/>
    <Organization>C</Organization>
    <IsBold>false</IsBold>
    <IsItalic>false</IsItalic>
    <IsSuperscript>false</IsSuperscript>
    <TemplateKey/>
  </Style>
  <Style>
    <StyleId>77</StyleId>
    <GendocStyle>91Editionprovisoire</GendocStyle>
    <CanevasStyle/>
    <Organization>C</Organization>
    <IsBold>false</IsBold>
    <IsItalic>false</IsItalic>
    <IsSuperscript>false</IsSuperscript>
    <TemplateKey/>
  </Style>
  <Style>
    <StyleId>78</StyleId>
    <GendocStyle>92Documenttravail</GendocStyle>
    <CanevasStyle/>
    <Organization>C</Organization>
    <IsBold>false</IsBold>
    <IsItalic>false</IsItalic>
    <IsSuperscript>false</IsSuperscript>
    <TemplateKey/>
  </Style>
  <Style>
    <StyleId>79</StyleId>
    <GendocStyle>93Titredefinitif</GendocStyle>
    <CanevasStyle/>
    <Organization>C</Organization>
    <IsBold>false</IsBold>
    <IsItalic>false</IsItalic>
    <IsSuperscript>false</IsSuperscript>
    <TemplateKey/>
  </Style>
  <Style>
    <StyleId>80</StyleId>
    <GendocStyle>DefaultParagraphFont</GendocStyle>
    <CanevasStyle/>
    <Organization>C</Organization>
    <IsBold>false</IsBold>
    <IsItalic>false</IsItalic>
    <IsSuperscript>false</IsSuperscript>
    <TemplateKey/>
  </Style>
  <Style>
    <StyleId>81</StyleId>
    <GendocStyle>EndnoteReference</GendocStyle>
    <CanevasStyle/>
    <Organization>C</Organization>
    <IsBold>false</IsBold>
    <IsItalic>false</IsItalic>
    <IsSuperscript>false</IsSuperscript>
    <TemplateKey/>
  </Style>
  <Style>
    <StyleId>82</StyleId>
    <GendocStyle>EndnoteText</GendocStyle>
    <CanevasStyle/>
    <Organization>C</Organization>
    <IsBold>false</IsBold>
    <IsItalic>false</IsItalic>
    <IsSuperscript>false</IsSuperscript>
    <TemplateKey/>
  </Style>
  <Style>
    <StyleId>83</StyleId>
    <GendocStyle>Footer</GendocStyle>
    <CanevasStyle/>
    <Organization>C</Organization>
    <IsBold>false</IsBold>
    <IsItalic>false</IsItalic>
    <IsSuperscript>false</IsSuperscript>
    <TemplateKey/>
  </Style>
  <Style>
    <StyleId>84</StyleId>
    <GendocStyle>FootnoteText</GendocStyle>
    <CanevasStyle/>
    <Organization>C</Organization>
    <IsBold>false</IsBold>
    <IsItalic>false</IsItalic>
    <IsSuperscript>false</IsSuperscript>
    <TemplateKey/>
  </Style>
  <Style>
    <StyleId>85</StyleId>
    <GendocStyle>Header</GendocStyle>
    <CanevasStyle/>
    <Organization>C</Organization>
    <IsBold>false</IsBold>
    <IsItalic>false</IsItalic>
    <IsSuperscript>false</IsSuperscript>
    <TemplateKey/>
  </Style>
  <Style>
    <StyleId>86</StyleId>
    <GendocStyle>Hyperlink</GendocStyle>
    <CanevasStyle/>
    <Organization>C</Organization>
    <IsBold>false</IsBold>
    <IsItalic>false</IsItalic>
    <IsSuperscript>false</IsSuperscript>
    <TemplateKey/>
  </Style>
  <Style>
    <StyleId>87</StyleId>
    <GendocStyle>Normal</GendocStyle>
    <CanevasStyle/>
    <Organization>C</Organization>
    <IsBold>false</IsBold>
    <IsItalic>false</IsItalic>
    <IsSuperscript>false</IsSuperscript>
    <TemplateKey/>
  </Style>
  <Style>
    <StyleId>88</StyleId>
    <GendocStyle>PlaceholderText</GendocStyle>
    <CanevasStyle/>
    <Organization>C</Organization>
    <IsBold>false</IsBold>
    <IsItalic>false</IsItalic>
    <IsSuperscript>false</IsSuperscript>
    <TemplateKey/>
  </Style>
  <Style>
    <StyleId>89</StyleId>
    <GendocStyle>Table Normal</GendocStyle>
    <CanevasStyle/>
    <Organization>C</Organization>
    <IsBold>false</IsBold>
    <IsItalic>false</IsItalic>
    <IsSuperscript>false</IsSuperscript>
    <TemplateKey/>
  </Style>
  <Style>
    <StyleId>90</StyleId>
    <GendocStyle>01PointAltN</GendocStyle>
    <CanevasStyle/>
    <Organization>C</Organization>
    <IsBold>false</IsBold>
    <IsItalic>false</IsItalic>
    <IsSuperscript>false</IsSuperscript>
    <TemplateKey/>
  </Style>
  <Style>
    <StyleId>93</StyleId>
    <GendocStyle>21Titrenumerote1</GendocStyle>
    <CanevasStyle>03Titre1</CanevasStyle>
    <Organization>C</Organization>
    <IsBold>false</IsBold>
    <IsItalic>false</IsItalic>
    <IsSuperscript>false</IsSuperscript>
    <TemplateKey/>
  </Style>
  <Style>
    <StyleId>94</StyleId>
    <GendocStyle>22Titrenumerote2</GendocStyle>
    <CanevasStyle>04Titre2</CanevasStyle>
    <Organization>C</Organization>
    <IsBold>false</IsBold>
    <IsItalic>false</IsItalic>
    <IsSuperscript>false</IsSuperscript>
    <TemplateKey/>
  </Style>
  <Style>
    <StyleId>95</StyleId>
    <GendocStyle>23Titrenumerote3</GendocStyle>
    <CanevasStyle>05Titre3</CanevasStyle>
    <Organization>C</Organization>
    <IsBold>false</IsBold>
    <IsItalic>false</IsItalic>
    <IsSuperscript>false</IsSuperscript>
    <TemplateKey/>
  </Style>
  <Style>
    <StyleId>96</StyleId>
    <GendocStyle>24Titrenumerote4</GendocStyle>
    <CanevasStyle>06Titre4</CanevasStyle>
    <Organization>C</Organization>
    <IsBold>false</IsBold>
    <IsItalic>false</IsItalic>
    <IsSuperscript>false</IsSuperscript>
    <TemplateKey/>
  </Style>
  <Style>
    <StyleId>97</StyleId>
    <GendocStyle>25Titrenumerote5</GendocStyle>
    <CanevasStyle>07Titre5</CanevasStyle>
    <Organization>C</Organization>
    <IsBold>false</IsBold>
    <IsItalic>false</IsItalic>
    <IsSuperscript>false</IsSuperscript>
    <TemplateKey/>
  </Style>
  <Style>
    <StyleId>98</StyleId>
    <GendocStyle>26Titrenumerote6</GendocStyle>
    <CanevasStyle>08Titre6</CanevasStyle>
    <Organization>C</Organization>
    <IsBold>false</IsBold>
    <IsItalic>false</IsItalic>
    <IsSuperscript>false</IsSuperscript>
    <TemplateKey/>
  </Style>
  <Style>
    <StyleId>99</StyleId>
    <GendocStyle>09Pointtypographiqueniv1</GendocStyle>
    <CanevasStyle/>
    <Organization>C</Organization>
    <IsBold>false</IsBold>
    <IsItalic>false</IsItalic>
    <IsSuperscript>false</IsSuperscript>
    <TemplateKey/>
  </Style>
  <Style>
    <StyleId>100</StyleId>
    <GendocStyle>03Tiretlong</GendocStyle>
    <CanevasStyle>10Tiretlong1</CanevasStyle>
    <Organization>C</Organization>
    <IsBold>false</IsBold>
    <IsItalic>false</IsItalic>
    <IsSuperscript>false</IsSuperscript>
    <TemplateKey/>
  </Style>
  <Style>
    <StyleId>101</StyleId>
    <GendocStyle>12Marge1avectiretlong</GendocStyle>
    <CanevasStyle>11Tiretlong2</CanevasStyle>
    <Organization>C</Organization>
    <IsBold>false</IsBold>
    <IsItalic>false</IsItalic>
    <IsSuperscript>false</IsSuperscript>
    <TemplateKey/>
  </Style>
  <Style>
    <StyleId>102</StyleId>
    <GendocStyle>15Marge2avectiretlong</GendocStyle>
    <CanevasStyle>12Tiretlong3</CanevasStyle>
    <Organization>C</Organization>
    <IsBold>false</IsBold>
    <IsItalic>false</IsItalic>
    <IsSuperscript>false</IsSuperscript>
    <TemplateKey/>
  </Style>
  <Style>
    <StyleId>103</StyleId>
    <GendocStyle>18Marge3avectiretlong</GendocStyle>
    <CanevasStyle>13Tiretlong4</CanevasStyle>
    <Organization>C</Organization>
    <IsBold>false</IsBold>
    <IsItalic>false</IsItalic>
    <IsSuperscript>false</IsSuperscript>
    <TemplateKey/>
  </Style>
  <Style>
    <StyleId>104</StyleId>
    <GendocStyle>14Tiretlong5</GendocStyle>
    <CanevasStyle/>
    <Organization>C</Organization>
    <IsBold>false</IsBold>
    <IsItalic>false</IsItalic>
    <IsSuperscript>false</IsSuperscript>
    <TemplateKey/>
  </Style>
  <Style>
    <StyleId>105</StyleId>
    <GendocStyle>09Marge0avecretrait</GendocStyle>
    <CanevasStyle>15Margeretrait0</CanevasStyle>
    <Organization>C</Organization>
    <IsBold>false</IsBold>
    <IsItalic>false</IsItalic>
    <IsSuperscript>false</IsSuperscript>
    <TemplateKey/>
  </Style>
  <Style>
    <StyleId>106</StyleId>
    <GendocStyle>11Marge1avecretrait</GendocStyle>
    <CanevasStyle>16Margeretrait1</CanevasStyle>
    <Organization>C</Organization>
    <IsBold>false</IsBold>
    <IsItalic>false</IsItalic>
    <IsSuperscript>false</IsSuperscript>
    <TemplateKey/>
  </Style>
  <Style>
    <StyleId>107</StyleId>
    <GendocStyle>14Marge2avecretrait</GendocStyle>
    <CanevasStyle>17Margeretrait2</CanevasStyle>
    <Organization>C</Organization>
    <IsBold>false</IsBold>
    <IsItalic>false</IsItalic>
    <IsSuperscript>false</IsSuperscript>
    <TemplateKey/>
  </Style>
  <Style>
    <StyleId>108</StyleId>
    <GendocStyle>17Marge3avecretrait</GendocStyle>
    <CanevasStyle>18Margeretrait3</CanevasStyle>
    <Organization>C</Organization>
    <IsBold>false</IsBold>
    <IsItalic>false</IsItalic>
    <IsSuperscript>false</IsSuperscript>
    <TemplateKey/>
  </Style>
  <Style>
    <StyleId>109</StyleId>
    <GendocStyle>10Marge1</GendocStyle>
    <CanevasStyle>19Marge1</CanevasStyle>
    <Organization>C</Organization>
    <IsBold>false</IsBold>
    <IsItalic>false</IsItalic>
    <IsSuperscript>false</IsSuperscript>
    <TemplateKey/>
  </Style>
  <Style>
    <StyleId>110</StyleId>
    <GendocStyle>13Marge2</GendocStyle>
    <CanevasStyle>20Marge2</CanevasStyle>
    <Organization>C</Organization>
    <IsBold>false</IsBold>
    <IsItalic>false</IsItalic>
    <IsSuperscript>false</IsSuperscript>
    <TemplateKey/>
  </Style>
  <Style>
    <StyleId>111</StyleId>
    <GendocStyle>16Marge3</GendocStyle>
    <CanevasStyle>21Marge3</CanevasStyle>
    <Organization>C</Organization>
    <IsBold>false</IsBold>
    <IsItalic>false</IsItalic>
    <IsSuperscript>false</IsSuperscript>
    <TemplateKey/>
  </Style>
  <Style>
    <StyleId>112</StyleId>
    <GendocStyle>22Alineanumerote1</GendocStyle>
    <CanevasStyle/>
    <Organization>C</Organization>
    <IsBold>false</IsBold>
    <IsItalic>false</IsItalic>
    <IsSuperscript>false</IsSuperscript>
    <TemplateKey/>
  </Style>
  <Style>
    <StyleId>113</StyleId>
    <GendocStyle>23Alineanumerote2</GendocStyle>
    <CanevasStyle/>
    <Organization>C</Organization>
    <IsBold>false</IsBold>
    <IsItalic>false</IsItalic>
    <IsSuperscript>false</IsSuperscript>
    <TemplateKey/>
  </Style>
  <Style>
    <StyleId>114</StyleId>
    <GendocStyle>24Alineanumerote3</GendocStyle>
    <CanevasStyle/>
    <Organization>C</Organization>
    <IsBold>false</IsBold>
    <IsItalic>false</IsItalic>
    <IsSuperscript>false</IsSuperscript>
    <TemplateKey/>
  </Style>
  <Style>
    <StyleId>115</StyleId>
    <GendocStyle>25Alineanumerote4</GendocStyle>
    <CanevasStyle/>
    <Organization>C</Organization>
    <IsBold>false</IsBold>
    <IsItalic>false</IsItalic>
    <IsSuperscript>false</IsSuperscript>
    <TemplateKey/>
  </Style>
  <Style>
    <StyleId>116</StyleId>
    <GendocStyle>26Alineanumerote5</GendocStyle>
    <CanevasStyle/>
    <Organization>C</Organization>
    <IsBold>false</IsBold>
    <IsItalic>false</IsItalic>
    <IsSuperscript>false</IsSuperscript>
    <TemplateKey/>
  </Style>
  <Style>
    <StyleId>117</StyleId>
    <GendocStyle>04Titre1</GendocStyle>
    <CanevasStyle>27Titresansnumero1</CanevasStyle>
    <Organization>C</Organization>
    <IsBold>false</IsBold>
    <IsItalic>false</IsItalic>
    <IsSuperscript>false</IsSuperscript>
    <TemplateKey/>
  </Style>
  <Style>
    <StyleId>118</StyleId>
    <GendocStyle>05Titre2</GendocStyle>
    <CanevasStyle>28Titresansnumero2</CanevasStyle>
    <Organization>C</Organization>
    <IsBold>false</IsBold>
    <IsItalic>false</IsItalic>
    <IsSuperscript>false</IsSuperscript>
    <TemplateKey/>
  </Style>
  <Style>
    <StyleId>119</StyleId>
    <GendocStyle>06Titre3</GendocStyle>
    <CanevasStyle>29Titresansnumero3</CanevasStyle>
    <Organization>C</Organization>
    <IsBold>false</IsBold>
    <IsItalic>false</IsItalic>
    <IsSuperscript>false</IsSuperscript>
    <TemplateKey/>
  </Style>
  <Style>
    <StyleId>120</StyleId>
    <GendocStyle>07Titre4</GendocStyle>
    <CanevasStyle>30Titresansnumero4</CanevasStyle>
    <Organization>C</Organization>
    <IsBold>false</IsBold>
    <IsItalic>false</IsItalic>
    <IsSuperscript>false</IsSuperscript>
    <TemplateKey/>
  </Style>
  <Style>
    <StyleId>121</StyleId>
    <GendocStyle>28Pointnumerotemanuel</GendocStyle>
    <CanevasStyle>32Pointnumerotemanuel</CanevasStyle>
    <Organization>C</Organization>
    <IsBold>false</IsBold>
    <IsItalic>false</IsItalic>
    <IsSuperscript>false</IsSuperscript>
    <TemplateKey/>
  </Style>
  <Style>
    <StyleId>122</StyleId>
    <GendocStyle>29Marge0doubleretrait</GendocStyle>
    <CanevasStyle>33Marge0doubleretrait</CanevasStyle>
    <Organization>C</Organization>
    <IsBold>false</IsBold>
    <IsItalic>false</IsItalic>
    <IsSuperscript>false</IsSuperscript>
    <TemplateKey/>
  </Style>
  <Style>
    <StyleId>123</StyleId>
    <GendocStyle>38Marge1doubleretrait</GendocStyle>
    <CanevasStyle>34Marge1doubleretrait</CanevasStyle>
    <Organization>C</Organization>
    <IsBold>false</IsBold>
    <IsItalic>false</IsItalic>
    <IsSuperscript>false</IsSuperscript>
    <TemplateKey/>
  </Style>
  <Style>
    <StyleId>124</StyleId>
    <GendocStyle>35Renvoiconclusions</GendocStyle>
    <CanevasStyle/>
    <Organization>C</Organization>
    <IsBold>false</IsBold>
    <IsItalic>false</IsItalic>
    <IsSuperscript>false</IsSuperscript>
    <TemplateKey/>
  </Style>
  <Style>
    <StyleId>125</StyleId>
    <GendocStyle>36Centre</GendocStyle>
    <CanevasStyle/>
    <Organization>C</Organization>
    <IsBold>false</IsBold>
    <IsItalic>false</IsItalic>
    <IsSuperscript>false</IsSuperscript>
    <TemplateKey/>
  </Style>
  <Style>
    <StyleId>126</StyleId>
    <GendocStyle>37Centregras</GendocStyle>
    <CanevasStyle/>
    <Organization>C</Organization>
    <IsBold>false</IsBold>
    <IsItalic>false</IsItalic>
    <IsSuperscript>false</IsSuperscript>
    <TemplateKey/>
  </Style>
  <Style>
    <StyleId>127</StyleId>
    <GendocStyle>38Centregrasgrandespacement</GendocStyle>
    <CanevasStyle/>
    <Organization>C</Organization>
    <IsBold>false</IsBold>
    <IsItalic>false</IsItalic>
    <IsSuperscript>false</IsSuperscript>
    <TemplateKey/>
  </Style>
  <Style>
    <StyleId>128</StyleId>
    <GendocStyle>39Centreespacement</GendocStyle>
    <CanevasStyle/>
    <Organization>C</Organization>
    <IsBold>false</IsBold>
    <IsItalic>false</IsItalic>
    <IsSuperscript>false</IsSuperscript>
    <TemplateKey/>
  </Style>
  <Style>
    <StyleId>129</StyleId>
    <GendocStyle>42FootnoteLangue</GendocStyle>
    <CanevasStyle>40FootnoteLangue</CanevasStyle>
    <Organization>C</Organization>
    <IsBold>false</IsBold>
    <IsItalic>false</IsItalic>
    <IsSuperscript>false</IsSuperscript>
    <TemplateKey/>
  </Style>
  <Style>
    <StyleId>130</StyleId>
    <GendocStyle>42FootnoteLangue</GendocStyle>
    <CanevasStyle>49FootnoteLangue</CanevasStyle>
    <Organization>C</Organization>
    <IsBold>false</IsBold>
    <IsItalic>false</IsItalic>
    <IsSuperscript>false</IsSuperscript>
    <TemplateKey/>
  </Style>
  <Style>
    <StyleId>131</StyleId>
    <GendocStyle>01PointSomAltN</GendocStyle>
    <CanevasStyle>01PointAltN</CanevasStyle>
    <Organization>C</Organization>
    <IsBold>false</IsBold>
    <IsItalic>false</IsItalic>
    <IsSuperscript>false</IsSuperscript>
    <TemplateKey>SOM_C</TemplateKey>
  </Style>
  <Style>
    <StyleId>132</StyleId>
    <GendocStyle>33MotCle</GendocStyle>
    <CanevasStyle/>
    <Organization>C</Organization>
    <IsBold>false</IsBold>
    <IsItalic>false</IsItalic>
    <IsSuperscript>false</IsSuperscript>
    <TemplateKey/>
  </Style>
  <Style>
    <StyleId>133</StyleId>
    <GendocStyle>34MotCleFin</GendocStyle>
    <CanevasStyle/>
    <Organization>C</Organization>
    <IsBold>false</IsBold>
    <IsItalic>false</IsItalic>
    <IsSuperscript>false</IsSuperscript>
    <TemplateKey/>
  </Style>
  <Style>
    <StyleId>134</StyleId>
    <GendocStyle>35MotClenumerote</GendocStyle>
    <CanevasStyle/>
    <Organization>C</Organization>
    <IsBold>false</IsBold>
    <IsItalic>false</IsItalic>
    <IsSuperscript>false</IsSuperscript>
    <TemplateKey/>
  </Style>
  <Style>
    <StyleId>135</StyleId>
    <GendocStyle>36Renvoi</GendocStyle>
    <CanevasStyle/>
    <Organization>C</Organization>
    <IsBold>false</IsBold>
    <IsItalic>false</IsItalic>
    <IsSuperscript>false</IsSuperscript>
    <TemplateKey/>
  </Style>
  <Style>
    <StyleId>136</StyleId>
    <GendocStyle>37MotCleFinretrait1</GendocStyle>
    <CanevasStyle/>
    <Organization>C</Organization>
    <IsBold>false</IsBold>
    <IsItalic>false</IsItalic>
    <IsSuperscript>false</IsSuperscript>
    <TemplateKey/>
  </Style>
  <Style>
    <StyleId>137</StyleId>
    <GendocStyle>38ReferenceIntro</GendocStyle>
    <CanevasStyle/>
    <Organization>C</Organization>
    <IsBold>false</IsBold>
    <IsItalic>false</IsItalic>
    <IsSuperscript>false</IsSuperscript>
    <TemplateKey/>
  </Style>
  <Style>
    <StyleId>138</StyleId>
    <GendocStyle>39Centre</GendocStyle>
    <CanevasStyle/>
    <Organization>C</Organization>
    <IsBold>false</IsBold>
    <IsItalic>false</IsItalic>
    <IsSuperscript>false</IsSuperscript>
    <TemplateKey/>
  </Style>
  <Style>
    <StyleId>139</StyleId>
    <GendocStyle>40Titre</GendocStyle>
    <CanevasStyle/>
    <Organization>C</Organization>
    <IsBold>false</IsBold>
    <IsItalic>false</IsItalic>
    <IsSuperscript>false</IsSuperscript>
    <TemplateKey/>
  </Style>
  <Style>
    <StyleId>140</StyleId>
    <GendocStyle>47Reference</GendocStyle>
    <CanevasStyle/>
    <Organization>C</Organization>
    <IsBold>false</IsBold>
    <IsItalic>false</IsItalic>
    <IsSuperscript>false</IsSuperscript>
    <TemplateKey/>
  </Style>
  <Style>
    <StyleId>141</StyleId>
    <GendocStyle>49ReferenceIntro</GendocStyle>
    <CanevasStyle/>
    <Organization>C</Organization>
    <IsBold>false</IsBold>
    <IsItalic>false</IsItalic>
    <IsSuperscript>false</IsSuperscript>
    <TemplateKey/>
  </Style>
  <Style>
    <StyleId>142</StyleId>
    <GendocStyle>08Question</GendocStyle>
    <CanevasStyle/>
    <Organization>C</Organization>
    <IsBold>false</IsBold>
    <IsItalic>false</IsItalic>
    <IsSuperscript>false</IsSuperscript>
    <TemplateKey/>
  </Style>
  <Style>
    <StyleId>143</StyleId>
    <GendocStyle>30Marge1doubleretrait</GendocStyle>
    <CanevasStyle/>
    <Organization>C</Organization>
    <IsBold>false</IsBold>
    <IsItalic>false</IsItalic>
    <IsSuperscript>false</IsSuperscript>
    <TemplateKey/>
  </Style>
  <Style>
    <StyleId>144</StyleId>
    <GendocStyle>31Questionalinea</GendocStyle>
    <CanevasStyle/>
    <Organization>C</Organization>
    <IsBold>false</IsBold>
    <IsItalic>false</IsItalic>
    <IsSuperscript>false</IsSuperscript>
    <TemplateKey/>
  </Style>
  <Style>
    <StyleId>145</StyleId>
    <GendocStyle>32Questiontiretlong</GendocStyle>
    <CanevasStyle/>
    <Organization>C</Organization>
    <IsBold>false</IsBold>
    <IsItalic>false</IsItalic>
    <IsSuperscript>false</IsSuperscript>
    <TemplateKey/>
  </Style>
  <Style>
    <StyleId>146</StyleId>
    <GendocStyle>33Questionmarge1</GendocStyle>
    <CanevasStyle/>
    <Organization>C</Organization>
    <IsBold>false</IsBold>
    <IsItalic>false</IsItalic>
    <IsSuperscript>false</IsSuperscript>
    <TemplateKey/>
  </Style>
  <Style>
    <StyleId>147</StyleId>
    <GendocStyle>34Questionmarge1avecretrait</GendocStyle>
    <CanevasStyle/>
    <Organization>C</Organization>
    <IsBold>false</IsBold>
    <IsItalic>false</IsItalic>
    <IsSuperscript>false</IsSuperscript>
    <TemplateKey/>
  </Style>
  <Style>
    <StyleId>148</StyleId>
    <GendocStyle>35Questionmarge1avectiretlong</GendocStyle>
    <CanevasStyle/>
    <Organization>C</Organization>
    <IsBold>false</IsBold>
    <IsItalic>false</IsItalic>
    <IsSuperscript>false</IsSuperscript>
    <TemplateKey/>
  </Style>
  <Style>
    <StyleId>149</StyleId>
    <GendocStyle>36Questionmarge2avecretrait</GendocStyle>
    <CanevasStyle/>
    <Organization>C</Organization>
    <IsBold>false</IsBold>
    <IsItalic>false</IsItalic>
    <IsSuperscript>false</IsSuperscript>
    <TemplateKey/>
  </Style>
  <Style>
    <StyleId>150</StyleId>
    <GendocStyle>37Questionmarge2avectiretlong</GendocStyle>
    <CanevasStyle/>
    <Organization>C</Organization>
    <IsBold>false</IsBold>
    <IsItalic>false</IsItalic>
    <IsSuperscript>false</IsSuperscript>
    <TemplateKey/>
  </Style>
  <Style>
    <StyleId>151</StyleId>
    <GendocStyle>38Questionmarge0doubleretrait</GendocStyle>
    <CanevasStyle/>
    <Organization>C</Organization>
    <IsBold>false</IsBold>
    <IsItalic>false</IsItalic>
    <IsSuperscript>false</IsSuperscript>
    <TemplateKey/>
  </Style>
  <Style>
    <StyleId>152</StyleId>
    <GendocStyle>39Questionmarge0avecretrait</GendocStyle>
    <CanevasStyle/>
    <Organization>C</Organization>
    <IsBold>false</IsBold>
    <IsItalic>false</IsItalic>
    <IsSuperscript>false</IsSuperscript>
    <TemplateKey/>
  </Style>
  <Style>
    <StyleId>153</StyleId>
    <GendocStyle>40Traduction</GendocStyle>
    <CanevasStyle/>
    <Organization>C</Organization>
    <IsBold>false</IsBold>
    <IsItalic>false</IsItalic>
    <IsSuperscript>false</IsSuperscript>
    <TemplateKey/>
  </Style>
  <Style>
    <StyleId>154</StyleId>
    <GendocStyle>41AlineaJustifiegras</GendocStyle>
    <CanevasStyle/>
    <Organization>C</Organization>
    <IsBold>false</IsBold>
    <IsItalic>false</IsItalic>
    <IsSuperscript>false</IsSuperscript>
    <TemplateKey/>
  </Style>
  <Style>
    <StyleId>155</StyleId>
    <GendocStyle>42Indent</GendocStyle>
    <CanevasStyle/>
    <Organization>C</Organization>
    <IsBold>false</IsBold>
    <IsItalic>false</IsItalic>
    <IsSuperscript>false</IsSuperscript>
    <TemplateKey/>
  </Style>
  <Style>
    <StyleId>156</StyleId>
    <GendocStyle>43IndentBottom</GendocStyle>
    <CanevasStyle/>
    <Organization>C</Organization>
    <IsBold>false</IsBold>
    <IsItalic>false</IsItalic>
    <IsSuperscript>false</IsSuperscript>
    <TemplateKey/>
  </Style>
  <Style>
    <StyleId>157</StyleId>
    <GendocStyle>31Dispositifmarge0avecretrait</GendocStyle>
    <CanevasStyle/>
    <Organization>C</Organization>
    <IsBold>false</IsBold>
    <IsItalic>false</IsItalic>
    <IsSuperscript>false</IsSuperscript>
    <TemplateKey/>
  </Style>
  <Style>
    <StyleId>158</StyleId>
    <GendocStyle>43FootnoteLangue</GendocStyle>
    <CanevasStyle/>
    <Organization>C</Organization>
    <IsBold>false</IsBold>
    <IsItalic>false</IsItalic>
    <IsSuperscript>false</IsSuperscript>
    <TemplateKey/>
  </Style>
  <Style>
    <StyleId>159</StyleId>
    <GendocStyle>44IndentBottom</GendocStyle>
    <CanevasStyle/>
    <Organization>C</Organization>
    <IsBold>false</IsBold>
    <IsItalic>false</IsItalic>
    <IsSuperscript>false</IsSuperscript>
    <TemplateKey/>
  </Style>
  <Style>
    <StyleId>160</StyleId>
    <GendocStyle>02RPAlineaAltA</GendocStyle>
    <CanevasStyle/>
    <Organization>C</Organization>
    <IsBold>false</IsBold>
    <IsItalic>false</IsItalic>
    <IsSuperscript>false</IsSuperscript>
    <TemplateKey/>
  </Style>
  <Style>
    <StyleId>161</StyleId>
    <GendocStyle>02RPAlineaAltADroite</GendocStyle>
    <CanevasStyle/>
    <Organization>C</Organization>
    <IsBold>false</IsBold>
    <IsItalic>false</IsItalic>
    <IsSuperscript>false</IsSuperscript>
    <TemplateKey/>
  </Style>
  <Style>
    <StyleId>162</StyleId>
    <GendocStyle>02RPAlineaAltAGras</GendocStyle>
    <CanevasStyle/>
    <Organization>C</Organization>
    <IsBold>false</IsBold>
    <IsItalic>false</IsItalic>
    <IsSuperscript>false</IsSuperscript>
    <TemplateKey/>
  </Style>
  <Style>
    <StyleId>163</StyleId>
    <GendocStyle>19RPCentre</GendocStyle>
    <CanevasStyle/>
    <Organization>C</Organization>
    <IsBold>false</IsBold>
    <IsItalic>false</IsItalic>
    <IsSuperscript>false</IsSuperscript>
    <TemplateKey/>
  </Style>
  <Style>
    <StyleId>164</StyleId>
    <GendocStyle>19RPCentreGras</GendocStyle>
    <CanevasStyle/>
    <Organization>C</Organization>
    <IsBold>false</IsBold>
    <IsItalic>false</IsItalic>
    <IsSuperscript>false</IsSuperscript>
    <TemplateKey/>
  </Style>
  <Style>
    <StyleId>165</StyleId>
    <GendocStyle>21Niveau5titre1</GendocStyle>
    <CanevasStyle/>
    <Organization>C</Organization>
    <IsBold>false</IsBold>
    <IsItalic>false</IsItalic>
    <IsSuperscript>false</IsSuperscript>
    <TemplateKey/>
  </Style>
  <Style>
    <StyleId>166</StyleId>
    <GendocStyle>22Niveau5titre2</GendocStyle>
    <CanevasStyle/>
    <Organization>C</Organization>
    <IsBold>false</IsBold>
    <IsItalic>false</IsItalic>
    <IsSuperscript>false</IsSuperscript>
    <TemplateKey/>
  </Style>
  <Style>
    <StyleId>167</StyleId>
    <GendocStyle>23Niveau5titre3</GendocStyle>
    <CanevasStyle/>
    <Organization>C</Organization>
    <IsBold>false</IsBold>
    <IsItalic>false</IsItalic>
    <IsSuperscript>false</IsSuperscript>
    <TemplateKey/>
  </Style>
  <Style>
    <StyleId>168</StyleId>
    <GendocStyle>24Niveau5titre4</GendocStyle>
    <CanevasStyle/>
    <Organization>C</Organization>
    <IsBold>false</IsBold>
    <IsItalic>false</IsItalic>
    <IsSuperscript>false</IsSuperscript>
    <TemplateKey/>
  </Style>
  <Style>
    <StyleId>169</StyleId>
    <GendocStyle>25Niveau5titre5</GendocStyle>
    <CanevasStyle/>
    <Organization>C</Organization>
    <IsBold>false</IsBold>
    <IsItalic>false</IsItalic>
    <IsSuperscript>false</IsSuperscript>
    <TemplateKey/>
  </Style>
  <Style>
    <StyleId>170</StyleId>
    <GendocStyle>26Niveau6titre1</GendocStyle>
    <CanevasStyle/>
    <Organization>C</Organization>
    <IsBold>false</IsBold>
    <IsItalic>false</IsItalic>
    <IsSuperscript>false</IsSuperscript>
    <TemplateKey/>
  </Style>
  <Style>
    <StyleId>171</StyleId>
    <GendocStyle>27Niveau6titre2</GendocStyle>
    <CanevasStyle/>
    <Organization>C</Organization>
    <IsBold>false</IsBold>
    <IsItalic>false</IsItalic>
    <IsSuperscript>false</IsSuperscript>
    <TemplateKey/>
  </Style>
  <Style>
    <StyleId>172</StyleId>
    <GendocStyle>28Niveau6titre3</GendocStyle>
    <CanevasStyle/>
    <Organization>C</Organization>
    <IsBold>false</IsBold>
    <IsItalic>false</IsItalic>
    <IsSuperscript>false</IsSuperscript>
    <TemplateKey/>
  </Style>
  <Style>
    <StyleId>173</StyleId>
    <GendocStyle>29Niveau6titre4</GendocStyle>
    <CanevasStyle/>
    <Organization>C</Organization>
    <IsBold>false</IsBold>
    <IsItalic>false</IsItalic>
    <IsSuperscript>false</IsSuperscript>
    <TemplateKey/>
  </Style>
  <Style>
    <StyleId>174</StyleId>
    <GendocStyle>30Niveau6titre5</GendocStyle>
    <CanevasStyle/>
    <Organization>C</Organization>
    <IsBold>false</IsBold>
    <IsItalic>false</IsItalic>
    <IsSuperscript>false</IsSuperscript>
    <TemplateKey/>
  </Style>
  <Style>
    <StyleId>175</StyleId>
    <GendocStyle>31Niveau6titre6</GendocStyle>
    <CanevasStyle/>
    <Organization>C</Organization>
    <IsBold>false</IsBold>
    <IsItalic>false</IsItalic>
    <IsSuperscript>false</IsSuperscript>
    <TemplateKey/>
  </Style>
  <Style>
    <StyleId>176</StyleId>
    <GendocStyle>32Niveau7titre1</GendocStyle>
    <CanevasStyle/>
    <Organization>C</Organization>
    <IsBold>false</IsBold>
    <IsItalic>false</IsItalic>
    <IsSuperscript>false</IsSuperscript>
    <TemplateKey/>
  </Style>
  <Style>
    <StyleId>177</StyleId>
    <GendocStyle>33Niveau7titre2</GendocStyle>
    <CanevasStyle/>
    <Organization>C</Organization>
    <IsBold>false</IsBold>
    <IsItalic>false</IsItalic>
    <IsSuperscript>false</IsSuperscript>
    <TemplateKey/>
  </Style>
  <Style>
    <StyleId>178</StyleId>
    <GendocStyle>34Niveau7titre3</GendocStyle>
    <CanevasStyle/>
    <Organization>C</Organization>
    <IsBold>false</IsBold>
    <IsItalic>false</IsItalic>
    <IsSuperscript>false</IsSuperscript>
    <TemplateKey/>
  </Style>
  <Style>
    <StyleId>179</StyleId>
    <GendocStyle>35Niveau7titre4</GendocStyle>
    <CanevasStyle/>
    <Organization>C</Organization>
    <IsBold>false</IsBold>
    <IsItalic>false</IsItalic>
    <IsSuperscript>false</IsSuperscript>
    <TemplateKey/>
  </Style>
  <Style>
    <StyleId>180</StyleId>
    <GendocStyle>36Niveau7titre5</GendocStyle>
    <CanevasStyle/>
    <Organization>C</Organization>
    <IsBold>false</IsBold>
    <IsItalic>false</IsItalic>
    <IsSuperscript>false</IsSuperscript>
    <TemplateKey/>
  </Style>
  <Style>
    <StyleId>181</StyleId>
    <GendocStyle>37Niveau7titre6</GendocStyle>
    <CanevasStyle/>
    <Organization>C</Organization>
    <IsBold>false</IsBold>
    <IsItalic>false</IsItalic>
    <IsSuperscript>false</IsSuperscript>
    <TemplateKey/>
  </Style>
  <Style>
    <StyleId>182</StyleId>
    <GendocStyle>38Niveau7titre7</GendocStyle>
    <CanevasStyle/>
    <Organization>C</Organization>
    <IsBold>false</IsBold>
    <IsItalic>false</IsItalic>
    <IsSuperscript>false</IsSuperscript>
    <TemplateKey/>
  </Style>
  <Style>
    <StyleId>183</StyleId>
    <GendocStyle>40Pointnumerotemanuel</GendocStyle>
    <CanevasStyle/>
    <Organization>C</Organization>
    <IsBold>false</IsBold>
    <IsItalic>false</IsItalic>
    <IsSuperscript>false</IsSuperscript>
    <TemplateKey/>
  </Style>
  <Style>
    <StyleId>184</StyleId>
    <GendocStyle>41Marge0doubleretrait</GendocStyle>
    <CanevasStyle/>
    <Organization>C</Organization>
    <IsBold>false</IsBold>
    <IsItalic>false</IsItalic>
    <IsSuperscript>false</IsSuperscript>
    <TemplateKey/>
  </Style>
  <Style>
    <StyleId>185</StyleId>
    <GendocStyle>42Dispositifalinea</GendocStyle>
    <CanevasStyle/>
    <Organization>C</Organization>
    <IsBold>false</IsBold>
    <IsItalic>false</IsItalic>
    <IsSuperscript>false</IsSuperscript>
    <TemplateKey/>
  </Style>
  <Style>
    <StyleId>186</StyleId>
    <GendocStyle>43Dispositiftiretlong</GendocStyle>
    <CanevasStyle/>
    <Organization>C</Organization>
    <IsBold>false</IsBold>
    <IsItalic>false</IsItalic>
    <IsSuperscript>false</IsSuperscript>
    <TemplateKey/>
  </Style>
  <Style>
    <StyleId>187</StyleId>
    <GendocStyle>44Dispositifmarge1avecretrait</GendocStyle>
    <CanevasStyle/>
    <Organization>C</Organization>
    <IsBold>false</IsBold>
    <IsItalic>false</IsItalic>
    <IsSuperscript>false</IsSuperscript>
    <TemplateKey/>
  </Style>
  <Style>
    <StyleId>188</StyleId>
    <GendocStyle>45Dispositifmarge1avectiretlong</GendocStyle>
    <CanevasStyle/>
    <Organization>C</Organization>
    <IsBold>false</IsBold>
    <IsItalic>false</IsItalic>
    <IsSuperscript>false</IsSuperscript>
    <TemplateKey/>
  </Style>
  <Style>
    <StyleId>189</StyleId>
    <GendocStyle>46Dispositifmarge2avecretrait</GendocStyle>
    <CanevasStyle/>
    <Organization>C</Organization>
    <IsBold>false</IsBold>
    <IsItalic>false</IsItalic>
    <IsSuperscript>false</IsSuperscript>
    <TemplateKey/>
  </Style>
  <Style>
    <StyleId>190</StyleId>
    <GendocStyle>47Dispositifmarge2avectiretlong</GendocStyle>
    <CanevasStyle/>
    <Organization>C</Organization>
    <IsBold>false</IsBold>
    <IsItalic>false</IsItalic>
    <IsSuperscript>false</IsSuperscript>
    <TemplateKey/>
  </Style>
  <Style>
    <StyleId>191</StyleId>
    <GendocStyle>48Gauche</GendocStyle>
    <CanevasStyle/>
    <Organization>C</Organization>
    <IsBold>false</IsBold>
    <IsItalic>false</IsItalic>
    <IsSuperscript>false</IsSuperscript>
    <TemplateKey/>
  </Style>
  <Style>
    <StyleId>192</StyleId>
    <GendocStyle>48GaucheBold</GendocStyle>
    <CanevasStyle/>
    <Organization>C</Organization>
    <IsBold>false</IsBold>
    <IsItalic>false</IsItalic>
    <IsSuperscript>false</IsSuperscript>
    <TemplateKey/>
  </Style>
  <Style>
    <StyleId>193</StyleId>
    <GendocStyle>49DroiteBold</GendocStyle>
    <CanevasStyle/>
    <Organization>C</Organization>
    <IsBold>false</IsBold>
    <IsItalic>false</IsItalic>
    <IsSuperscript>false</IsSuperscript>
    <TemplateKey/>
  </Style>
  <Style>
    <StyleId>194</StyleId>
    <GendocStyle>50TitreCentreSouligne</GendocStyle>
    <CanevasStyle/>
    <Organization>C</Organization>
    <IsBold>false</IsBold>
    <IsItalic>false</IsItalic>
    <IsSuperscript>false</IsSuperscript>
    <TemplateKey/>
  </Style>
  <Style>
    <StyleId>195</StyleId>
    <GendocStyle>51TitreGauche</GendocStyle>
    <CanevasStyle/>
    <Organization>C</Organization>
    <IsBold>false</IsBold>
    <IsItalic>false</IsItalic>
    <IsSuperscript>false</IsSuperscript>
    <TemplateKey/>
  </Style>
  <Style>
    <StyleId>196</StyleId>
    <GendocStyle>52Droite</GendocStyle>
    <CanevasStyle/>
    <Organization>C</Organization>
    <IsBold>false</IsBold>
    <IsItalic>false</IsItalic>
    <IsSuperscript>false</IsSuperscript>
    <TemplateKey/>
  </Style>
  <Style>
    <StyleId>197</StyleId>
    <GendocStyle>53GaucheSouligne</GendocStyle>
    <CanevasStyle/>
    <Organization>C</Organization>
    <IsBold>false</IsBold>
    <IsItalic>false</IsItalic>
    <IsSuperscript>false</IsSuperscript>
    <TemplateKey/>
  </Style>
  <Style>
    <StyleId>198</StyleId>
    <GendocStyle>54DroiteItalique</GendocStyle>
    <CanevasStyle/>
    <Organization>C</Organization>
    <IsBold>false</IsBold>
    <IsItalic>false</IsItalic>
    <IsSuperscript>false</IsSuperscript>
    <TemplateKey/>
  </Style>
  <Style>
    <StyleId>199</StyleId>
    <GendocStyle>55DroitePetit</GendocStyle>
    <CanevasStyle/>
    <Organization>C</Organization>
    <IsBold>false</IsBold>
    <IsItalic>false</IsItalic>
    <IsSuperscript>false</IsSuperscript>
    <TemplateKey/>
  </Style>
  <Style>
    <StyleId>200</StyleId>
    <GendocStyle>56GauchePetit</GendocStyle>
    <CanevasStyle/>
    <Organization>C</Organization>
    <IsBold>false</IsBold>
    <IsItalic>false</IsItalic>
    <IsSuperscript>false</IsSuperscript>
    <TemplateKey/>
  </Style>
  <Style>
    <StyleId>201</StyleId>
    <GendocStyle>56RPGaucheGrand</GendocStyle>
    <CanevasStyle/>
    <Organization>C</Organization>
    <IsBold>false</IsBold>
    <IsItalic>false</IsItalic>
    <IsSuperscript>false</IsSuperscript>
    <TemplateKey/>
  </Style>
  <Style>
    <StyleId>202</StyleId>
    <GendocStyle>56RPGaucheGrandBold</GendocStyle>
    <CanevasStyle/>
    <Organization>C</Organization>
    <IsBold>false</IsBold>
    <IsItalic>false</IsItalic>
    <IsSuperscript>false</IsSuperscript>
    <TemplateKey/>
  </Style>
  <Style>
    <StyleId>203</StyleId>
    <GendocStyle>56RPGauchePetit</GendocStyle>
    <CanevasStyle/>
    <Organization>C</Organization>
    <IsBold>false</IsBold>
    <IsItalic>false</IsItalic>
    <IsSuperscript>false</IsSuperscript>
    <TemplateKey/>
  </Style>
  <Style>
    <StyleId>204</StyleId>
    <GendocStyle>56RPGauchePetitGras</GendocStyle>
    <CanevasStyle/>
    <Organization>C</Organization>
    <IsBold>false</IsBold>
    <IsItalic>false</IsItalic>
    <IsSuperscript>false</IsSuperscript>
    <TemplateKey/>
  </Style>
  <Style>
    <StyleId>205</StyleId>
    <GendocStyle>57Marge1doubleretrait</GendocStyle>
    <CanevasStyle/>
    <Organization>C</Organization>
    <IsBold>false</IsBold>
    <IsItalic>false</IsItalic>
    <IsSuperscript>false</IsSuperscript>
    <TemplateKey/>
  </Style>
  <Style>
    <StyleId>206</StyleId>
    <GendocStyle>58Dispositifmarge1doubleretrait</GendocStyle>
    <CanevasStyle/>
    <Organization>C</Organization>
    <IsBold>false</IsBold>
    <IsItalic>false</IsItalic>
    <IsSuperscript>false</IsSuperscript>
    <TemplateKey/>
  </Style>
  <Style>
    <StyleId>207</StyleId>
    <GendocStyle>59Dispositifmarge0avecretrait</GendocStyle>
    <CanevasStyle/>
    <Organization>C</Organization>
    <IsBold>false</IsBold>
    <IsItalic>false</IsItalic>
    <IsSuperscript>false</IsSuperscript>
    <TemplateKey/>
  </Style>
  <Style>
    <StyleId>208</StyleId>
    <GendocStyle>42FootnoteLangue</GendocStyle>
    <CanevasStyle>60FootnoteLangue</CanevasStyle>
    <Organization>C</Organization>
    <IsBold>false</IsBold>
    <IsItalic>false</IsItalic>
    <IsSuperscript>false</IsSuperscript>
    <TemplateKey/>
  </Style>
  <Style>
    <StyleId>209</StyleId>
    <GendocStyle>71_Indicateur</GendocStyle>
    <CanevasStyle>01Introduction</CanevasStyle>
    <Organization>C</Organization>
    <IsBold>false</IsBold>
    <IsItalic>false</IsItalic>
    <IsSuperscript>false</IsSuperscript>
    <TemplateKey/>
  </Style>
  <Style>
    <StyleId>210</StyleId>
    <GendocStyle>35MotClenumerote</GendocStyle>
    <CanevasStyle>02MotClenumerote</CanevasStyle>
    <Organization>C</Organization>
    <IsBold>false</IsBold>
    <IsItalic>false</IsItalic>
    <IsSuperscript>false</IsSuperscript>
    <TemplateKey/>
  </Style>
  <Style>
    <StyleId>211</StyleId>
    <GendocStyle>33MotCle</GendocStyle>
    <CanevasStyle>03MotCle</CanevasStyle>
    <Organization>C</Organization>
    <IsBold>false</IsBold>
    <IsItalic>false</IsItalic>
    <IsSuperscript>false</IsSuperscript>
    <TemplateKey/>
  </Style>
  <Style>
    <StyleId>212</StyleId>
    <GendocStyle>04Objet</GendocStyle>
    <CanevasStyle/>
    <Organization>C</Organization>
    <IsBold>false</IsBold>
    <IsItalic>false</IsItalic>
    <IsSuperscript>false</IsSuperscript>
    <TemplateKey/>
  </Style>
  <Style>
    <StyleId>213</StyleId>
    <GendocStyle>05Dispositif</GendocStyle>
    <CanevasStyle/>
    <Organization>C</Organization>
    <IsBold>false</IsBold>
    <IsItalic>false</IsItalic>
    <IsSuperscript>false</IsSuperscript>
    <TemplateKey/>
  </Style>
  <Style>
    <StyleId>214</StyleId>
    <GendocStyle>02AlineaAltA</GendocStyle>
    <CanevasStyle>06Alinea</CanevasStyle>
    <Organization>C</Organization>
    <IsBold>false</IsBold>
    <IsItalic>false</IsItalic>
    <IsSuperscript>false</IsSuperscript>
    <TemplateKey/>
  </Style>
  <Style>
    <StyleId>215</StyleId>
    <GendocStyle>07Partie</GendocStyle>
    <CanevasStyle/>
    <Organization>C</Organization>
    <IsBold>false</IsBold>
    <IsItalic>false</IsItalic>
    <IsSuperscript>false</IsSuperscript>
    <TemplateKey/>
  </Style>
  <Style>
    <StyleId>216</StyleId>
    <GendocStyle>08Composition</GendocStyle>
    <CanevasStyle/>
    <Organization>C</Organization>
    <IsBold>false</IsBold>
    <IsItalic>false</IsItalic>
    <IsSuperscript>false</IsSuperscript>
    <TemplateKey/>
  </Style>
  <Style>
    <StyleId>217</StyleId>
    <GendocStyle>09DispositifIntroduction</GendocStyle>
    <CanevasStyle/>
    <Organization>C</Organization>
    <IsBold>false</IsBold>
    <IsItalic>false</IsItalic>
    <IsSuperscript>false</IsSuperscript>
    <TemplateKey/>
  </Style>
  <Style>
    <StyleId>218</StyleId>
    <GendocStyle>10Titre</GendocStyle>
    <CanevasStyle/>
    <Organization>C</Organization>
    <IsBold>false</IsBold>
    <IsItalic>false</IsItalic>
    <IsSuperscript>false</IsSuperscript>
    <TemplateKey/>
  </Style>
  <Style>
    <StyleId>219</StyleId>
    <GendocStyle>11ObjetIntroduction</GendocStyle>
    <CanevasStyle/>
    <Organization>C</Organization>
    <IsBold>false</IsBold>
    <IsItalic>false</IsItalic>
    <IsSuperscript>false</IsSuperscript>
    <TemplateKey/>
  </Style>
  <Style>
    <StyleId>220</StyleId>
    <GendocStyle>12Dispositifnonnumerote</GendocStyle>
    <CanevasStyle/>
    <Organization>C</Organization>
    <IsBold>false</IsBold>
    <IsItalic>false</IsItalic>
    <IsSuperscript>false</IsSuperscript>
    <TemplateKey/>
  </Style>
  <Style>
    <StyleId>221</StyleId>
    <GendocStyle>12Dispositifnonnumerote</GendocStyle>
    <CanevasStyle>13Dispositifalinea</CanevasStyle>
    <Organization>C</Organization>
    <IsBold>false</IsBold>
    <IsItalic>false</IsItalic>
    <IsSuperscript>false</IsSuperscript>
    <TemplateKey/>
  </Style>
  <Style>
    <StyleId>222</StyleId>
    <GendocStyle>14Dispositiftiretlong</GendocStyle>
    <CanevasStyle/>
    <Organization>C</Organization>
    <IsBold>false</IsBold>
    <IsItalic>false</IsItalic>
    <IsSuperscript>false</IsSuperscript>
    <TemplateKey/>
  </Style>
  <Style>
    <StyleId>223</StyleId>
    <GendocStyle>15Dispositifmarge1</GendocStyle>
    <CanevasStyle/>
    <Organization>C</Organization>
    <IsBold>false</IsBold>
    <IsItalic>false</IsItalic>
    <IsSuperscript>false</IsSuperscript>
    <TemplateKey/>
  </Style>
  <Style>
    <StyleId>224</StyleId>
    <GendocStyle>16Dispositifmarge1avecretrait</GendocStyle>
    <CanevasStyle/>
    <Organization>C</Organization>
    <IsBold>false</IsBold>
    <IsItalic>false</IsItalic>
    <IsSuperscript>false</IsSuperscript>
    <TemplateKey/>
  </Style>
  <Style>
    <StyleId>225</StyleId>
    <GendocStyle>17Dispositifmarge1avectiretlong</GendocStyle>
    <CanevasStyle/>
    <Organization>C</Organization>
    <IsBold>false</IsBold>
    <IsItalic>false</IsItalic>
    <IsSuperscript>false</IsSuperscript>
    <TemplateKey/>
  </Style>
  <Style>
    <StyleId>226</StyleId>
    <GendocStyle>18Dispositifmarge2avecretrait</GendocStyle>
    <CanevasStyle/>
    <Organization>C</Organization>
    <IsBold>false</IsBold>
    <IsItalic>false</IsItalic>
    <IsSuperscript>false</IsSuperscript>
    <TemplateKey/>
  </Style>
  <Style>
    <StyleId>227</StyleId>
    <GendocStyle>19Dispositifmarge2avectiretlong</GendocStyle>
    <CanevasStyle/>
    <Organization>C</Organization>
    <IsBold>false</IsBold>
    <IsItalic>false</IsItalic>
    <IsSuperscript>false</IsSuperscript>
    <TemplateKey/>
  </Style>
  <Style>
    <StyleId>228</StyleId>
    <GendocStyle>20Dispositifmarge0doubleretrait</GendocStyle>
    <CanevasStyle/>
    <Organization>C</Organization>
    <IsBold>false</IsBold>
    <IsItalic>false</IsItalic>
    <IsSuperscript>false</IsSuperscript>
    <TemplateKey/>
  </Style>
  <Style>
    <StyleId>229</StyleId>
    <GendocStyle>21Dispositifmarge1doubleretrait</GendocStyle>
    <CanevasStyle/>
    <Organization>C</Organization>
    <IsBold>false</IsBold>
    <IsItalic>false</IsItalic>
    <IsSuperscript>false</IsSuperscript>
    <TemplateKey/>
  </Style>
  <Style>
    <StyleId>230</StyleId>
    <GendocStyle>22Dispositifmarge0avecretrait</GendocStyle>
    <CanevasStyle/>
    <Organization>C</Organization>
    <IsBold>false</IsBold>
    <IsItalic>false</IsItalic>
    <IsSuperscript>false</IsSuperscript>
    <TemplateKey/>
  </Style>
</GendocCanevasStyleMapping>
</file>

<file path=customXml/itemProps1.xml><?xml version="1.0" encoding="utf-8"?>
<ds:datastoreItem xmlns:ds="http://schemas.openxmlformats.org/officeDocument/2006/customXml" ds:itemID="{7B870853-89CA-42F5-A0A3-8B347E4C185B}">
  <ds:schemaRefs/>
</ds:datastoreItem>
</file>

<file path=customXml/itemProps10.xml><?xml version="1.0" encoding="utf-8"?>
<ds:datastoreItem xmlns:ds="http://schemas.openxmlformats.org/officeDocument/2006/customXml" ds:itemID="{9B5FA772-8871-407C-9D15-B188398B5EE3}">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Drawing"/>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143477C7-3334-4A86-A499-A31BCD3B7A28}">
  <ds:schemaRefs/>
</ds:datastoreItem>
</file>

<file path=customXml/itemProps3.xml><?xml version="1.0" encoding="utf-8"?>
<ds:datastoreItem xmlns:ds="http://schemas.openxmlformats.org/officeDocument/2006/customXml" ds:itemID="{34BC47A9-3E12-4186-8EE6-C9D8D036ABAE}">
  <ds:schemaRefs>
    <ds:schemaRef ds:uri="http://www.w3.org/2001/XMLSchema"/>
  </ds:schemaRefs>
</ds:datastoreItem>
</file>

<file path=customXml/itemProps4.xml><?xml version="1.0" encoding="utf-8"?>
<ds:datastoreItem xmlns:ds="http://schemas.openxmlformats.org/officeDocument/2006/customXml" ds:itemID="{38938C62-736D-40EF-BC3D-579556577190}">
  <ds:schemaRefs/>
</ds:datastoreItem>
</file>

<file path=customXml/itemProps5.xml><?xml version="1.0" encoding="utf-8"?>
<ds:datastoreItem xmlns:ds="http://schemas.openxmlformats.org/officeDocument/2006/customXml" ds:itemID="{4DB95E7E-DF7E-4BD5-8B7F-3F545A4D9B63}">
  <ds:schemaRefs>
    <ds:schemaRef ds:uri="http://www.w3.org/2001/XMLSchema"/>
  </ds:schemaRefs>
</ds:datastoreItem>
</file>

<file path=customXml/itemProps6.xml><?xml version="1.0" encoding="utf-8"?>
<ds:datastoreItem xmlns:ds="http://schemas.openxmlformats.org/officeDocument/2006/customXml" ds:itemID="{5D47AD72-84CE-42CC-A586-DDA0C3531578}">
  <ds:schemaRefs/>
</ds:datastoreItem>
</file>

<file path=customXml/itemProps7.xml><?xml version="1.0" encoding="utf-8"?>
<ds:datastoreItem xmlns:ds="http://schemas.openxmlformats.org/officeDocument/2006/customXml" ds:itemID="{92CA673C-411E-4460-B8ED-4FE2D67FE172}">
  <ds:schemaRefs/>
</ds:datastoreItem>
</file>

<file path=customXml/itemProps8.xml><?xml version="1.0" encoding="utf-8"?>
<ds:datastoreItem xmlns:ds="http://schemas.openxmlformats.org/officeDocument/2006/customXml" ds:itemID="{C8EFD0EE-1777-4E4F-9C95-F59401298618}">
  <ds:schemaRefs/>
</ds:datastoreItem>
</file>

<file path=customXml/itemProps9.xml><?xml version="1.0" encoding="utf-8"?>
<ds:datastoreItem xmlns:ds="http://schemas.openxmlformats.org/officeDocument/2006/customXml" ds:itemID="{ACE0F33C-AA3E-4C25-9E2C-C1FD4F6AFC8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5522</Words>
  <Characters>32028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CURIA</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wlp</dc:creator>
  <cp:lastModifiedBy>Margus Enno</cp:lastModifiedBy>
  <cp:revision>3</cp:revision>
  <cp:lastPrinted>2017-02-02T09:38:00Z</cp:lastPrinted>
  <dcterms:created xsi:type="dcterms:W3CDTF">2017-03-12T10:31:00Z</dcterms:created>
  <dcterms:modified xsi:type="dcterms:W3CDTF">2017-03-12T10:33:00Z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doc_User">
    <vt:lpwstr>wlp</vt:lpwstr>
  </property>
  <property fmtid="{D5CDD505-2E9C-101B-9397-08002B2CF9AE}" pid="3" name="Gendoc_GenerationDate">
    <vt:filetime>2016-11-29T10:40:32Z</vt:filetime>
  </property>
  <property fmtid="{D5CDD505-2E9C-101B-9397-08002B2CF9AE}" pid="4" name="Created">
    <vt:lpwstr>GenDoc 29/11/2016 10:40:32</vt:lpwstr>
  </property>
  <property fmtid="{D5CDD505-2E9C-101B-9397-08002B2CF9AE}" pid="5" name="Gendoc_GendocTemplateType">
    <vt:lpwstr>CNC_C</vt:lpwstr>
  </property>
  <property fmtid="{D5CDD505-2E9C-101B-9397-08002B2CF9AE}" pid="6" name="TypeDoc">
    <vt:lpwstr>CNC</vt:lpwstr>
  </property>
  <property fmtid="{D5CDD505-2E9C-101B-9397-08002B2CF9AE}" pid="7" name="Gendoc_Juridiction">
    <vt:lpwstr>C</vt:lpwstr>
  </property>
  <property fmtid="{D5CDD505-2E9C-101B-9397-08002B2CF9AE}" pid="8" name="Juridiction">
    <vt:lpwstr>C</vt:lpwstr>
  </property>
  <property fmtid="{D5CDD505-2E9C-101B-9397-08002B2CF9AE}" pid="9" name="Gendoc_CaseNumber">
    <vt:lpwstr>0206</vt:lpwstr>
  </property>
  <property fmtid="{D5CDD505-2E9C-101B-9397-08002B2CF9AE}" pid="10" name="NumeroOrdre">
    <vt:lpwstr>0206</vt:lpwstr>
  </property>
  <property fmtid="{D5CDD505-2E9C-101B-9397-08002B2CF9AE}" pid="11" name="Gendoc_CaseYear">
    <vt:i4>2016</vt:i4>
  </property>
  <property fmtid="{D5CDD505-2E9C-101B-9397-08002B2CF9AE}" pid="12" name="Annee">
    <vt:lpwstr>2016</vt:lpwstr>
  </property>
  <property fmtid="{D5CDD505-2E9C-101B-9397-08002B2CF9AE}" pid="13" name="Gendoc_CaseNature">
    <vt:lpwstr>RP</vt:lpwstr>
  </property>
  <property fmtid="{D5CDD505-2E9C-101B-9397-08002B2CF9AE}" pid="14" name="NatureAff">
    <vt:lpwstr>RP</vt:lpwstr>
  </property>
  <property fmtid="{D5CDD505-2E9C-101B-9397-08002B2CF9AE}" pid="15" name="Gendoc_CaseNumberSuite">
    <vt:lpwstr>0001</vt:lpwstr>
  </property>
  <property fmtid="{D5CDD505-2E9C-101B-9397-08002B2CF9AE}" pid="16" name="NumSuite">
    <vt:lpwstr>0001</vt:lpwstr>
  </property>
  <property fmtid="{D5CDD505-2E9C-101B-9397-08002B2CF9AE}" pid="17" name="Gendoc_ProcedureType">
    <vt:lpwstr>P</vt:lpwstr>
  </property>
  <property fmtid="{D5CDD505-2E9C-101B-9397-08002B2CF9AE}" pid="18" name="TypeProc">
    <vt:lpwstr>P</vt:lpwstr>
  </property>
  <property fmtid="{D5CDD505-2E9C-101B-9397-08002B2CF9AE}" pid="19" name="Gendoc_ProcedureNumber">
    <vt:i4>1</vt:i4>
  </property>
  <property fmtid="{D5CDD505-2E9C-101B-9397-08002B2CF9AE}" pid="20" name="NumProc">
    <vt:lpwstr>1</vt:lpwstr>
  </property>
  <property fmtid="{D5CDD505-2E9C-101B-9397-08002B2CF9AE}" pid="21" name="Gendoc_EditionType">
    <vt:lpwstr>Final</vt:lpwstr>
  </property>
  <property fmtid="{D5CDD505-2E9C-101B-9397-08002B2CF9AE}" pid="22" name="Gendoc_LastVerificationDate">
    <vt:lpwstr>14/02/2017 10:44:31</vt:lpwstr>
  </property>
  <property fmtid="{D5CDD505-2E9C-101B-9397-08002B2CF9AE}" pid="23" name="Gendoc_LastVerificationStatus">
    <vt:lpwstr>COMPLETE_document_go_red_tc</vt:lpwstr>
  </property>
  <property fmtid="{D5CDD505-2E9C-101B-9397-08002B2CF9AE}" pid="24" name="Canevas3_Vademecum">
    <vt:i4>0</vt:i4>
  </property>
  <property fmtid="{D5CDD505-2E9C-101B-9397-08002B2CF9AE}" pid="25" name="ReadyToPublish">
    <vt:lpwstr/>
  </property>
  <property fmtid="{D5CDD505-2E9C-101B-9397-08002B2CF9AE}" pid="26" name="EP_Version">
    <vt:i4>0</vt:i4>
  </property>
  <property fmtid="{D5CDD505-2E9C-101B-9397-08002B2CF9AE}" pid="27" name="EP_Mode">
    <vt:i4>1</vt:i4>
  </property>
  <property fmtid="{D5CDD505-2E9C-101B-9397-08002B2CF9AE}" pid="28" name="DocumentIdentifier">
    <vt:lpwstr>2971751275f24cf5ae8e093ae07bdabd</vt:lpwstr>
  </property>
  <property fmtid="{D5CDD505-2E9C-101B-9397-08002B2CF9AE}" pid="29" name="TOC_Position_NotVademecum">
    <vt:lpwstr>0</vt:lpwstr>
  </property>
  <property fmtid="{D5CDD505-2E9C-101B-9397-08002B2CF9AE}" pid="30" name="IsFlattened">
    <vt:bool>true</vt:bool>
  </property>
  <property fmtid="{D5CDD505-2E9C-101B-9397-08002B2CF9AE}" pid="31" name="Gendoc_DGTGenerated">
    <vt:bool>true</vt:bool>
  </property>
  <property fmtid="{D5CDD505-2E9C-101B-9397-08002B2CF9AE}" pid="32" name="Gendoc_DGTGeneratedDate">
    <vt:filetime>2017-02-10T16:47:24Z</vt:filetime>
  </property>
  <property fmtid="{D5CDD505-2E9C-101B-9397-08002B2CF9AE}" pid="33" name="Gendoc_DGTGeneratedUser">
    <vt:lpwstr/>
  </property>
  <property fmtid="{D5CDD505-2E9C-101B-9397-08002B2CF9AE}" pid="34" name="Gendoc_Lang">
    <vt:lpwstr>et-EE</vt:lpwstr>
  </property>
  <property fmtid="{D5CDD505-2E9C-101B-9397-08002B2CF9AE}" pid="35" name="Gendoc_LangCode">
    <vt:lpwstr>et</vt:lpwstr>
  </property>
  <property fmtid="{D5CDD505-2E9C-101B-9397-08002B2CF9AE}" pid="36" name="Langue">
    <vt:lpwstr>ET</vt:lpwstr>
  </property>
  <property fmtid="{D5CDD505-2E9C-101B-9397-08002B2CF9AE}" pid="37" name="Gendoc_Vademecum">
    <vt:i4>2016</vt:i4>
  </property>
  <property fmtid="{D5CDD505-2E9C-101B-9397-08002B2CF9AE}" pid="38" name="CreateCustomParts">
    <vt:bool>false</vt:bool>
  </property>
</Properties>
</file>