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8C" w:rsidRDefault="009E26F8">
      <w:pPr>
        <w:pStyle w:val="Textoindependiente"/>
        <w:spacing w:after="0" w:line="384" w:lineRule="auto"/>
        <w:jc w:val="center"/>
        <w:sectPr w:rsidR="00DA0B8C">
          <w:headerReference w:type="default" r:id="rId7"/>
          <w:headerReference w:type="first" r:id="rId8"/>
          <w:pgSz w:w="15869" w:h="22464"/>
          <w:pgMar w:top="2734" w:right="619" w:bottom="1664" w:left="1589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TextoindependienteCar"/>
        </w:rPr>
        <w:t>DECISIÓN N° 2/85 DE LA COMISIÓN MIXTA CEE-AUSTRIA</w:t>
      </w:r>
      <w:r>
        <w:rPr>
          <w:rStyle w:val="TextoindependienteCar"/>
        </w:rPr>
        <w:br/>
        <w:t>«Tránsito comunitario»</w:t>
      </w:r>
      <w:r>
        <w:rPr>
          <w:rStyle w:val="TextoindependienteCar"/>
        </w:rPr>
        <w:br/>
        <w:t>de 5 de diciembre de 1985</w:t>
      </w:r>
      <w:r>
        <w:rPr>
          <w:rStyle w:val="TextoindependienteCar"/>
        </w:rPr>
        <w:br/>
        <w:t>relativa a los textos en lengua castellana y portuguesa del Acuerdo entre la Comunidad</w:t>
      </w:r>
      <w:r>
        <w:rPr>
          <w:rStyle w:val="TextoindependienteCar"/>
        </w:rPr>
        <w:br/>
        <w:t>Económica Europea y la República de Aust</w:t>
      </w:r>
      <w:r>
        <w:rPr>
          <w:rStyle w:val="TextoindependienteCar"/>
        </w:rPr>
        <w:t>ria sobre aplicación de la normativa en materia de</w:t>
      </w:r>
      <w:r>
        <w:rPr>
          <w:rStyle w:val="TextoindependienteCar"/>
        </w:rPr>
        <w:br/>
        <w:t>tránsito comunitario y por la que se modifican los apéndices de dicho Acuerdo</w:t>
      </w:r>
    </w:p>
    <w:p w:rsidR="00DA0B8C" w:rsidRDefault="00DA0B8C">
      <w:pPr>
        <w:spacing w:line="240" w:lineRule="exact"/>
        <w:rPr>
          <w:sz w:val="19"/>
          <w:szCs w:val="19"/>
        </w:rPr>
      </w:pPr>
    </w:p>
    <w:p w:rsidR="00DA0B8C" w:rsidRDefault="00DA0B8C">
      <w:pPr>
        <w:spacing w:before="67" w:after="67" w:line="240" w:lineRule="exact"/>
        <w:rPr>
          <w:sz w:val="19"/>
          <w:szCs w:val="19"/>
        </w:rPr>
      </w:pPr>
    </w:p>
    <w:p w:rsidR="00DA0B8C" w:rsidRDefault="00DA0B8C">
      <w:pPr>
        <w:spacing w:line="1" w:lineRule="exact"/>
        <w:sectPr w:rsidR="00DA0B8C">
          <w:type w:val="continuous"/>
          <w:pgSz w:w="15869" w:h="22464"/>
          <w:pgMar w:top="2734" w:right="0" w:bottom="1664" w:left="0" w:header="0" w:footer="3" w:gutter="0"/>
          <w:cols w:space="720"/>
          <w:noEndnote/>
          <w:docGrid w:linePitch="360"/>
        </w:sectPr>
      </w:pPr>
    </w:p>
    <w:p w:rsidR="00DA0B8C" w:rsidRDefault="009E26F8">
      <w:pPr>
        <w:pStyle w:val="Textoindependiente"/>
        <w:spacing w:after="220"/>
        <w:jc w:val="both"/>
        <w:rPr>
          <w:sz w:val="22"/>
          <w:szCs w:val="22"/>
        </w:rPr>
      </w:pPr>
      <w:r>
        <w:rPr>
          <w:rStyle w:val="TextoindependienteCar"/>
          <w:sz w:val="22"/>
          <w:szCs w:val="22"/>
        </w:rPr>
        <w:t>LA COMISIÓN MIXTA,</w:t>
      </w:r>
    </w:p>
    <w:p w:rsidR="00DA0B8C" w:rsidRDefault="009E26F8">
      <w:pPr>
        <w:pStyle w:val="Textoindependiente"/>
        <w:spacing w:after="220"/>
        <w:jc w:val="both"/>
      </w:pPr>
      <w:r>
        <w:rPr>
          <w:rStyle w:val="TextoindependienteCar"/>
        </w:rPr>
        <w:t>Visto el Acuerdo entre la Comunidad Económica Europea y la República de Austria sob</w:t>
      </w:r>
      <w:r>
        <w:rPr>
          <w:rStyle w:val="TextoindependienteCar"/>
        </w:rPr>
        <w:t>re aplicación de la normativa en materia de tránsito comunitario y, en particular, las letras a) y c) del apartado 3 de su artículo 16,</w:t>
      </w:r>
    </w:p>
    <w:p w:rsidR="00DA0B8C" w:rsidRDefault="009E26F8">
      <w:pPr>
        <w:pStyle w:val="Textoindependiente"/>
        <w:spacing w:after="220"/>
        <w:jc w:val="both"/>
      </w:pPr>
      <w:r>
        <w:rPr>
          <w:rStyle w:val="TextoindependienteCar"/>
        </w:rPr>
        <w:t>Considerando que, desde el momento de la adhesión a la Comunidad, el Reino de España y la República Portuguesa estarán v</w:t>
      </w:r>
      <w:r>
        <w:rPr>
          <w:rStyle w:val="TextoindependienteCar"/>
        </w:rPr>
        <w:t>inculados por el Acuerdo antes citado;</w:t>
      </w:r>
    </w:p>
    <w:p w:rsidR="00DA0B8C" w:rsidRDefault="009E26F8">
      <w:pPr>
        <w:pStyle w:val="Textoindependiente"/>
        <w:spacing w:after="220"/>
        <w:jc w:val="both"/>
      </w:pPr>
      <w:r>
        <w:rPr>
          <w:rStyle w:val="TextoindependienteCar"/>
        </w:rPr>
        <w:t xml:space="preserve">Considerando que es conveniente establecer que los textos en lengua castellana y portuguesa del Acuerdo sean auténticos en las mismas condiciones que los </w:t>
      </w:r>
      <w:proofErr w:type="spellStart"/>
      <w:r>
        <w:rPr>
          <w:rStyle w:val="TextoindependienteCar"/>
        </w:rPr>
        <w:t>extos</w:t>
      </w:r>
      <w:proofErr w:type="spellEnd"/>
      <w:r>
        <w:rPr>
          <w:rStyle w:val="TextoindependienteCar"/>
        </w:rPr>
        <w:t xml:space="preserve"> en las lenguas alemana, danesa, francesa, griega, </w:t>
      </w:r>
      <w:r>
        <w:rPr>
          <w:rStyle w:val="TextoindependienteCar"/>
        </w:rPr>
        <w:t>inglesa, italiana y neer</w:t>
      </w:r>
      <w:r>
        <w:rPr>
          <w:rStyle w:val="TextoindependienteCar"/>
        </w:rPr>
        <w:softHyphen/>
        <w:t>landesa;</w:t>
      </w:r>
    </w:p>
    <w:p w:rsidR="00DA0B8C" w:rsidRDefault="009E26F8">
      <w:pPr>
        <w:pStyle w:val="Textoindependiente"/>
        <w:spacing w:after="220"/>
        <w:jc w:val="both"/>
      </w:pPr>
      <w:r>
        <w:rPr>
          <w:rStyle w:val="TextoindependienteCar"/>
        </w:rPr>
        <w:t>Considerando que la normativa en materia de tránsito comunitario ha sido modificada por las Actas relativas a las condiciones de adhesión del Reino de España y de la República Portuguesa y a las adaptaciones de los Trata</w:t>
      </w:r>
      <w:r>
        <w:rPr>
          <w:rStyle w:val="TextoindependienteCar"/>
        </w:rPr>
        <w:softHyphen/>
        <w:t>d</w:t>
      </w:r>
      <w:r>
        <w:rPr>
          <w:rStyle w:val="TextoindependienteCar"/>
        </w:rPr>
        <w:t>os;</w:t>
      </w:r>
    </w:p>
    <w:p w:rsidR="00DA0B8C" w:rsidRDefault="009E26F8">
      <w:pPr>
        <w:pStyle w:val="Textoindependiente"/>
        <w:spacing w:after="500"/>
        <w:jc w:val="both"/>
      </w:pPr>
      <w:r>
        <w:rPr>
          <w:rStyle w:val="TextoindependienteCar"/>
        </w:rPr>
        <w:t>Considerando que, por otra parte, se han modificado determinadas disposiciones de dicha normativa, que ésta figura en los apéndices al Acuerdo y que es conveniente, por consiguiente, adaptar dichos apéndices,</w:t>
      </w:r>
    </w:p>
    <w:p w:rsidR="00DA0B8C" w:rsidRDefault="009E26F8">
      <w:pPr>
        <w:pStyle w:val="Textoindependiente"/>
        <w:spacing w:after="220"/>
        <w:jc w:val="both"/>
        <w:rPr>
          <w:sz w:val="22"/>
          <w:szCs w:val="22"/>
        </w:rPr>
      </w:pPr>
      <w:r>
        <w:rPr>
          <w:rStyle w:val="TextoindependienteCar"/>
          <w:sz w:val="22"/>
          <w:szCs w:val="22"/>
        </w:rPr>
        <w:t>DECIDE:</w:t>
      </w:r>
    </w:p>
    <w:p w:rsidR="00DA0B8C" w:rsidRDefault="009E26F8">
      <w:pPr>
        <w:pStyle w:val="Textoindependiente"/>
        <w:spacing w:after="220"/>
        <w:jc w:val="center"/>
      </w:pPr>
      <w:r>
        <w:rPr>
          <w:rStyle w:val="TextoindependienteCar"/>
          <w:i/>
          <w:iCs/>
        </w:rPr>
        <w:t>Artículo 1</w:t>
      </w:r>
    </w:p>
    <w:p w:rsidR="00DA0B8C" w:rsidRDefault="009E26F8">
      <w:pPr>
        <w:pStyle w:val="Textoindependiente"/>
        <w:spacing w:after="0"/>
        <w:jc w:val="both"/>
      </w:pPr>
      <w:r>
        <w:rPr>
          <w:rStyle w:val="TextoindependienteCar"/>
        </w:rPr>
        <w:t>Los texto en lengua cast</w:t>
      </w:r>
      <w:r>
        <w:rPr>
          <w:rStyle w:val="TextoindependienteCar"/>
        </w:rPr>
        <w:t>ellana y portuguesa del Acuerdo entre la Comunidad Económica Europea y la República de Austria sobre aplicación de la normativa en materia de tránsito comunitario que figuran anejos a la presente Deci</w:t>
      </w:r>
      <w:r>
        <w:rPr>
          <w:rStyle w:val="TextoindependienteCar"/>
        </w:rPr>
        <w:softHyphen/>
        <w:t>sión son auténticos en las mismas condiciones que los t</w:t>
      </w:r>
      <w:r>
        <w:rPr>
          <w:rStyle w:val="TextoindependienteCar"/>
        </w:rPr>
        <w:t>extos en las lenguas alemana, danesa, francesa, griega, inglesa, italiana y neerlandesa.</w:t>
      </w:r>
    </w:p>
    <w:p w:rsidR="00DA0B8C" w:rsidRDefault="009E26F8">
      <w:pPr>
        <w:pStyle w:val="Textoindependiente"/>
        <w:spacing w:after="160"/>
        <w:jc w:val="both"/>
      </w:pPr>
      <w:r>
        <w:rPr>
          <w:rStyle w:val="TextoindependienteCar"/>
        </w:rPr>
        <w:t>Apéndice I:</w:t>
      </w:r>
    </w:p>
    <w:p w:rsidR="00DA0B8C" w:rsidRDefault="009E26F8">
      <w:pPr>
        <w:pStyle w:val="Textoindependiente"/>
        <w:spacing w:after="160"/>
        <w:jc w:val="both"/>
      </w:pPr>
      <w:r>
        <w:rPr>
          <w:rStyle w:val="TextoindependienteCar"/>
        </w:rPr>
        <w:t>apartados 4 y 5 del artículo 1; párrafo segundo del apartado 2 del artículo 2; artículos 3, 4 y 10; última frase del apartado 1 del artículo 12; última fra</w:t>
      </w:r>
      <w:r>
        <w:rPr>
          <w:rStyle w:val="TextoindependienteCar"/>
        </w:rPr>
        <w:t>se del apartado 1 del artículo 22; apartado 2 del artículo 26; artículo 29; apartado 3 del artículo 30; párrafo segundo del aparta</w:t>
      </w:r>
      <w:r>
        <w:rPr>
          <w:rStyle w:val="TextoindependienteCar"/>
        </w:rPr>
        <w:softHyphen/>
        <w:t>do 1 y apartado 3 del artículo 32; última frase del aparta</w:t>
      </w:r>
      <w:r>
        <w:rPr>
          <w:rStyle w:val="TextoindependienteCar"/>
        </w:rPr>
        <w:softHyphen/>
        <w:t>do 1 del artículo 39; artículo 41; apartados 1 y 2 del artículo 44</w:t>
      </w:r>
      <w:r>
        <w:rPr>
          <w:rStyle w:val="TextoindependienteCar"/>
        </w:rPr>
        <w:t>; artículo 47; apartado 2 del artículo 48; artículos 50 a 53, 55 a 61;</w:t>
      </w:r>
    </w:p>
    <w:p w:rsidR="00DA0B8C" w:rsidRDefault="009E26F8">
      <w:pPr>
        <w:pStyle w:val="Textoindependiente"/>
        <w:spacing w:after="160"/>
        <w:jc w:val="both"/>
      </w:pPr>
      <w:r>
        <w:rPr>
          <w:rStyle w:val="TextoindependienteCar"/>
        </w:rPr>
        <w:t>Apéndice II</w:t>
      </w:r>
    </w:p>
    <w:p w:rsidR="00DA0B8C" w:rsidRDefault="009E26F8">
      <w:pPr>
        <w:pStyle w:val="Textoindependiente"/>
        <w:spacing w:after="160"/>
        <w:jc w:val="both"/>
      </w:pPr>
      <w:r>
        <w:rPr>
          <w:rStyle w:val="TextoindependienteCar"/>
        </w:rPr>
        <w:t xml:space="preserve">apartado 3, primera frase del apartado 6 y apartado 9 del artículo 1; letra d) del apartado 5 y apartado 11 del artículo 2; artículo 4; apartado 3 del artículo 7; artículos </w:t>
      </w:r>
      <w:r>
        <w:rPr>
          <w:rStyle w:val="TextoindependienteCar"/>
        </w:rPr>
        <w:t>10 a 14; apartado 2 del artículo 15; artículo 22; última frase del párrafo segundo del apartado 5 del artículo 24; artículos 27 a 34; letra a) del artículo 35; apartados 2 y 4 del artículo 42; letra a) del artículo 50; apartados 2, 3, segunda frase del pár</w:t>
      </w:r>
      <w:r>
        <w:rPr>
          <w:rStyle w:val="TextoindependienteCar"/>
        </w:rPr>
        <w:t xml:space="preserve">rafo segundo del apartado 3 bis y apartado 5 del artículo 50 i); artículo 51; </w:t>
      </w:r>
      <w:proofErr w:type="spellStart"/>
      <w:r>
        <w:rPr>
          <w:rStyle w:val="TextoindependienteCar"/>
        </w:rPr>
        <w:t>subapartado</w:t>
      </w:r>
      <w:proofErr w:type="spellEnd"/>
      <w:r>
        <w:rPr>
          <w:rStyle w:val="TextoindependienteCar"/>
        </w:rPr>
        <w:t xml:space="preserve"> 2 del apartado 2 del artículo 53; párrafo segundo del artículo 54; artículo 61 bis a </w:t>
      </w:r>
      <w:proofErr w:type="spellStart"/>
      <w:r>
        <w:rPr>
          <w:rStyle w:val="TextoindependienteCar"/>
        </w:rPr>
        <w:t>septies</w:t>
      </w:r>
      <w:proofErr w:type="spellEnd"/>
      <w:r>
        <w:rPr>
          <w:rStyle w:val="TextoindependienteCar"/>
        </w:rPr>
        <w:t xml:space="preserve">; apartado 1 del artículo 68; artículo 68 bis a </w:t>
      </w:r>
      <w:proofErr w:type="spellStart"/>
      <w:r>
        <w:rPr>
          <w:rStyle w:val="TextoindependienteCar"/>
        </w:rPr>
        <w:t>quinquies</w:t>
      </w:r>
      <w:proofErr w:type="spellEnd"/>
      <w:r>
        <w:rPr>
          <w:rStyle w:val="TextoindependienteCar"/>
        </w:rPr>
        <w:t>; artículo 74.</w:t>
      </w:r>
    </w:p>
    <w:p w:rsidR="00DA0B8C" w:rsidRDefault="009E26F8">
      <w:pPr>
        <w:pStyle w:val="Textoindependiente"/>
        <w:spacing w:after="0"/>
        <w:jc w:val="both"/>
        <w:sectPr w:rsidR="00DA0B8C">
          <w:type w:val="continuous"/>
          <w:pgSz w:w="15869" w:h="22464"/>
          <w:pgMar w:top="2734" w:right="1272" w:bottom="1664" w:left="1589" w:header="0" w:footer="3" w:gutter="0"/>
          <w:cols w:num="2" w:space="936"/>
          <w:noEndnote/>
          <w:docGrid w:linePitch="360"/>
        </w:sectPr>
      </w:pPr>
      <w:r>
        <w:rPr>
          <w:rStyle w:val="TextoindependienteCar"/>
        </w:rPr>
        <w:t xml:space="preserve">Sin embargo, las disposiciones de los artículos 4 y 41, de los apartados 1 y 2 del artículo 44, de los artículos 47, 50 a 53 del Apéndice 1, </w:t>
      </w:r>
      <w:proofErr w:type="spellStart"/>
      <w:r>
        <w:rPr>
          <w:rStyle w:val="TextoindependienteCar"/>
        </w:rPr>
        <w:t>asi</w:t>
      </w:r>
      <w:proofErr w:type="spellEnd"/>
      <w:r>
        <w:rPr>
          <w:rStyle w:val="TextoindependienteCar"/>
        </w:rPr>
        <w:t xml:space="preserve"> como las de la última frase del párrafo segundo del apartado 5 del artículo 24, de l</w:t>
      </w:r>
      <w:r>
        <w:rPr>
          <w:rStyle w:val="TextoindependienteCar"/>
        </w:rPr>
        <w:t xml:space="preserve">os artículos 27 a 34, de la letra a) del artículo 35, de los apartados 2 y 4 del artículo 42, de la letra a) del artículo 50, de los apartados 2, 3, segunda frase del párrafo segundo del apartado 3 bis y apartado 5 del artículo 50 i), del artículo 51, del </w:t>
      </w:r>
      <w:proofErr w:type="spellStart"/>
      <w:r>
        <w:rPr>
          <w:rStyle w:val="TextoindependienteCar"/>
        </w:rPr>
        <w:t>subapartado</w:t>
      </w:r>
      <w:proofErr w:type="spellEnd"/>
      <w:r>
        <w:rPr>
          <w:rStyle w:val="TextoindependienteCar"/>
        </w:rPr>
        <w:t xml:space="preserve"> 2 del apartado 2 del artículo 53, del párrafo segundo del artículo 54, del apartado 1 </w:t>
      </w:r>
      <w:proofErr w:type="gramStart"/>
      <w:r>
        <w:rPr>
          <w:rStyle w:val="TextoindependienteCar"/>
        </w:rPr>
        <w:t>del</w:t>
      </w:r>
      <w:proofErr w:type="gramEnd"/>
      <w:r>
        <w:rPr>
          <w:rStyle w:val="TextoindependienteCar"/>
        </w:rPr>
        <w:t xml:space="preserve"> artículo 68, de los artículos 68 bis a </w:t>
      </w:r>
      <w:proofErr w:type="spellStart"/>
      <w:r>
        <w:rPr>
          <w:rStyle w:val="TextoindependienteCar"/>
        </w:rPr>
        <w:t>quinquies</w:t>
      </w:r>
      <w:proofErr w:type="spellEnd"/>
      <w:r>
        <w:rPr>
          <w:rStyle w:val="TextoindependienteCar"/>
        </w:rPr>
        <w:t xml:space="preserve"> y del artículo 74 del Apéndice II, seguirán siendo aplicables en los Estados miembros».</w:t>
      </w:r>
    </w:p>
    <w:p w:rsidR="00DA0B8C" w:rsidRDefault="00DA0B8C">
      <w:pPr>
        <w:spacing w:before="61" w:after="61" w:line="240" w:lineRule="exact"/>
        <w:rPr>
          <w:sz w:val="19"/>
          <w:szCs w:val="19"/>
        </w:rPr>
      </w:pPr>
    </w:p>
    <w:p w:rsidR="00DA0B8C" w:rsidRDefault="00DA0B8C">
      <w:pPr>
        <w:spacing w:line="1" w:lineRule="exact"/>
        <w:sectPr w:rsidR="00DA0B8C">
          <w:type w:val="continuous"/>
          <w:pgSz w:w="15869" w:h="22464"/>
          <w:pgMar w:top="2734" w:right="0" w:bottom="1664" w:left="0" w:header="0" w:footer="3" w:gutter="0"/>
          <w:cols w:space="720"/>
          <w:noEndnote/>
          <w:docGrid w:linePitch="360"/>
        </w:sectPr>
      </w:pPr>
    </w:p>
    <w:p w:rsidR="00DA0B8C" w:rsidRDefault="009E26F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12700</wp:posOffset>
                </wp:positionV>
                <wp:extent cx="697865" cy="1892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B8C" w:rsidRDefault="009E26F8">
                            <w:pPr>
                              <w:pStyle w:val="Textoindependiente"/>
                              <w:spacing w:after="0"/>
                            </w:pPr>
                            <w:r>
                              <w:rPr>
                                <w:rStyle w:val="TextoindependienteCar"/>
                                <w:i/>
                                <w:iCs/>
                              </w:rPr>
                              <w:t>Artículo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6.15000000000001pt;margin-top:1.pt;width:54.950000000000003pt;height:14.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Artículo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A0B8C" w:rsidRDefault="009E26F8">
      <w:pPr>
        <w:pStyle w:val="Textoindependiente"/>
        <w:spacing w:after="0"/>
        <w:jc w:val="center"/>
        <w:sectPr w:rsidR="00DA0B8C">
          <w:type w:val="continuous"/>
          <w:pgSz w:w="15869" w:h="22464"/>
          <w:pgMar w:top="2734" w:right="1272" w:bottom="1664" w:left="5222" w:header="0" w:footer="3" w:gutter="0"/>
          <w:cols w:space="720"/>
          <w:noEndnote/>
          <w:docGrid w:linePitch="360"/>
        </w:sectPr>
      </w:pPr>
      <w:r>
        <w:rPr>
          <w:rStyle w:val="TextoindependienteCar"/>
          <w:i/>
          <w:iCs/>
        </w:rPr>
        <w:t>Artículo 3</w:t>
      </w:r>
    </w:p>
    <w:p w:rsidR="00DA0B8C" w:rsidRDefault="009E26F8">
      <w:pPr>
        <w:pStyle w:val="Textoindependiente"/>
        <w:spacing w:after="140"/>
        <w:jc w:val="both"/>
      </w:pPr>
      <w:r>
        <w:rPr>
          <w:rStyle w:val="TextoindependienteCar"/>
        </w:rPr>
        <w:t>Queda modificado como sigue el Acuerdo entre la Comuni</w:t>
      </w:r>
      <w:r>
        <w:rPr>
          <w:rStyle w:val="TextoindependienteCar"/>
        </w:rPr>
        <w:softHyphen/>
        <w:t>dad Económica Europea y la República de Austria sobre la aplicación de la normativa en materia de tránsito comunita</w:t>
      </w:r>
      <w:r>
        <w:rPr>
          <w:rStyle w:val="TextoindependienteCar"/>
        </w:rPr>
        <w:softHyphen/>
        <w:t>rio:</w:t>
      </w:r>
    </w:p>
    <w:p w:rsidR="00DA0B8C" w:rsidRDefault="009E26F8">
      <w:pPr>
        <w:pStyle w:val="Textoindependiente"/>
        <w:spacing w:after="140"/>
        <w:jc w:val="both"/>
      </w:pPr>
      <w:r>
        <w:rPr>
          <w:rStyle w:val="TextoindependienteCar"/>
        </w:rPr>
        <w:t>En el ar</w:t>
      </w:r>
      <w:r>
        <w:rPr>
          <w:rStyle w:val="TextoindependienteCar"/>
        </w:rPr>
        <w:t>tículo 13, el apartado 1 se reemplazará por el texto siguiente:</w:t>
      </w:r>
    </w:p>
    <w:p w:rsidR="00DA0B8C" w:rsidRDefault="009E26F8">
      <w:pPr>
        <w:pStyle w:val="Textoindependiente"/>
        <w:spacing w:after="140"/>
        <w:ind w:left="320" w:firstLine="20"/>
        <w:jc w:val="both"/>
      </w:pPr>
      <w:r>
        <w:rPr>
          <w:rStyle w:val="TextoindependienteCar"/>
        </w:rPr>
        <w:t>«1. No serán aplicables las disposiciones que figuran entre corchetes en los Apéndices I y II, y que se enumeran a continuación:</w:t>
      </w:r>
    </w:p>
    <w:p w:rsidR="005172BA" w:rsidRDefault="005172BA">
      <w:pPr>
        <w:pStyle w:val="Textoindependiente"/>
        <w:spacing w:after="140"/>
        <w:rPr>
          <w:rStyle w:val="TextoindependienteCar"/>
        </w:rPr>
      </w:pPr>
    </w:p>
    <w:p w:rsidR="005172BA" w:rsidRDefault="005172BA">
      <w:pPr>
        <w:pStyle w:val="Textoindependiente"/>
        <w:spacing w:after="140"/>
        <w:rPr>
          <w:rStyle w:val="TextoindependienteCar"/>
        </w:rPr>
      </w:pPr>
    </w:p>
    <w:p w:rsidR="005172BA" w:rsidRDefault="005172BA">
      <w:pPr>
        <w:pStyle w:val="Textoindependiente"/>
        <w:spacing w:after="140"/>
        <w:rPr>
          <w:rStyle w:val="TextoindependienteCar"/>
        </w:rPr>
      </w:pPr>
    </w:p>
    <w:p w:rsidR="00DA0B8C" w:rsidRDefault="009E26F8">
      <w:pPr>
        <w:pStyle w:val="Textoindependiente"/>
        <w:spacing w:after="140"/>
      </w:pPr>
      <w:r>
        <w:rPr>
          <w:rStyle w:val="TextoindependienteCar"/>
        </w:rPr>
        <w:t>Queda modificado como sigue el Apéndice I del Acuerdo:</w:t>
      </w:r>
    </w:p>
    <w:p w:rsidR="00DA0B8C" w:rsidRDefault="009E26F8">
      <w:pPr>
        <w:pStyle w:val="Textoindependiente"/>
        <w:numPr>
          <w:ilvl w:val="0"/>
          <w:numId w:val="1"/>
        </w:numPr>
        <w:tabs>
          <w:tab w:val="left" w:pos="454"/>
        </w:tabs>
        <w:spacing w:after="80"/>
      </w:pPr>
      <w:r>
        <w:rPr>
          <w:rStyle w:val="TextoindependienteCar"/>
        </w:rPr>
        <w:t xml:space="preserve">En la </w:t>
      </w:r>
      <w:r>
        <w:rPr>
          <w:rStyle w:val="TextoindependienteCar"/>
        </w:rPr>
        <w:t>nota 1, al pie de la página 1, se añadirá:</w:t>
      </w:r>
    </w:p>
    <w:p w:rsidR="00DA0B8C" w:rsidRDefault="009E26F8">
      <w:pPr>
        <w:pStyle w:val="Textoindependiente"/>
        <w:numPr>
          <w:ilvl w:val="0"/>
          <w:numId w:val="2"/>
        </w:numPr>
        <w:tabs>
          <w:tab w:val="left" w:pos="682"/>
        </w:tabs>
        <w:spacing w:after="80"/>
        <w:ind w:left="880" w:hanging="480"/>
      </w:pPr>
      <w:r>
        <w:rPr>
          <w:rStyle w:val="TextoindependienteCar"/>
        </w:rPr>
        <w:t>— Reglamento (CEE) n° 3813/81 de 15 de diciembre de 1981,</w:t>
      </w:r>
    </w:p>
    <w:p w:rsidR="00DA0B8C" w:rsidRDefault="009E26F8">
      <w:pPr>
        <w:pStyle w:val="Textoindependiente"/>
        <w:numPr>
          <w:ilvl w:val="0"/>
          <w:numId w:val="2"/>
        </w:numPr>
        <w:tabs>
          <w:tab w:val="left" w:pos="921"/>
        </w:tabs>
        <w:spacing w:after="80"/>
        <w:ind w:left="880" w:hanging="380"/>
      </w:pPr>
      <w:r>
        <w:rPr>
          <w:rStyle w:val="TextoindependienteCar"/>
        </w:rPr>
        <w:t>Reglamento (CEE) n° 3617/82 de 17 de diciembre de 1982,</w:t>
      </w:r>
    </w:p>
    <w:p w:rsidR="00DA0B8C" w:rsidRDefault="009E26F8">
      <w:pPr>
        <w:pStyle w:val="Textoindependiente"/>
        <w:numPr>
          <w:ilvl w:val="0"/>
          <w:numId w:val="2"/>
        </w:numPr>
        <w:tabs>
          <w:tab w:val="left" w:pos="921"/>
        </w:tabs>
        <w:spacing w:after="80"/>
        <w:ind w:firstLine="500"/>
      </w:pPr>
      <w:r>
        <w:rPr>
          <w:rStyle w:val="TextoindependienteCar"/>
        </w:rPr>
        <w:t>el Acta de adhesión del Reino de España,</w:t>
      </w:r>
    </w:p>
    <w:p w:rsidR="00DA0B8C" w:rsidRDefault="009E26F8">
      <w:pPr>
        <w:pStyle w:val="Textoindependiente"/>
        <w:numPr>
          <w:ilvl w:val="0"/>
          <w:numId w:val="2"/>
        </w:numPr>
        <w:tabs>
          <w:tab w:val="left" w:pos="926"/>
        </w:tabs>
        <w:spacing w:after="80"/>
        <w:ind w:firstLine="500"/>
        <w:jc w:val="both"/>
        <w:rPr>
          <w:rStyle w:val="TextoindependienteCar"/>
        </w:rPr>
      </w:pPr>
      <w:r>
        <w:rPr>
          <w:rStyle w:val="TextoindependienteCar"/>
        </w:rPr>
        <w:t>el Acta de adhesión de la República Portuguesa.»;</w:t>
      </w:r>
    </w:p>
    <w:p w:rsidR="005172BA" w:rsidRDefault="005172BA" w:rsidP="005172BA">
      <w:pPr>
        <w:pStyle w:val="Textoindependiente"/>
        <w:tabs>
          <w:tab w:val="left" w:pos="926"/>
        </w:tabs>
        <w:spacing w:after="80"/>
        <w:jc w:val="both"/>
        <w:rPr>
          <w:rStyle w:val="TextoindependienteCar"/>
        </w:rPr>
      </w:pPr>
    </w:p>
    <w:p w:rsidR="005172BA" w:rsidRDefault="005172BA" w:rsidP="005172BA">
      <w:pPr>
        <w:pStyle w:val="Textoindependiente"/>
        <w:tabs>
          <w:tab w:val="left" w:pos="926"/>
        </w:tabs>
        <w:spacing w:after="80"/>
        <w:jc w:val="both"/>
        <w:rPr>
          <w:rStyle w:val="TextoindependienteCar"/>
        </w:rPr>
      </w:pPr>
    </w:p>
    <w:p w:rsidR="005172BA" w:rsidRDefault="005172BA" w:rsidP="005172BA">
      <w:pPr>
        <w:pStyle w:val="Textoindependiente"/>
        <w:tabs>
          <w:tab w:val="left" w:pos="926"/>
        </w:tabs>
        <w:spacing w:after="80"/>
        <w:jc w:val="both"/>
        <w:rPr>
          <w:rStyle w:val="TextoindependienteCar"/>
        </w:rPr>
      </w:pPr>
    </w:p>
    <w:p w:rsidR="005172BA" w:rsidRDefault="005172BA" w:rsidP="005172BA">
      <w:pPr>
        <w:pStyle w:val="Textoindependiente"/>
        <w:tabs>
          <w:tab w:val="left" w:pos="926"/>
        </w:tabs>
        <w:spacing w:after="80"/>
        <w:jc w:val="both"/>
      </w:pPr>
    </w:p>
    <w:p w:rsidR="00DA0B8C" w:rsidRDefault="009E26F8">
      <w:pPr>
        <w:pStyle w:val="Textoindependiente"/>
        <w:numPr>
          <w:ilvl w:val="0"/>
          <w:numId w:val="1"/>
        </w:numPr>
        <w:tabs>
          <w:tab w:val="left" w:pos="346"/>
        </w:tabs>
        <w:spacing w:after="500"/>
        <w:ind w:left="420" w:hanging="420"/>
        <w:jc w:val="both"/>
      </w:pPr>
      <w:r>
        <w:rPr>
          <w:rStyle w:val="TextoindependienteCar"/>
        </w:rPr>
        <w:lastRenderedPageBreak/>
        <w:t xml:space="preserve">En el </w:t>
      </w:r>
      <w:r>
        <w:rPr>
          <w:rStyle w:val="TextoindependienteCar"/>
        </w:rPr>
        <w:t xml:space="preserve">apartado 2 del artículo 57 las palabras «cuarenta y cinco» </w:t>
      </w:r>
      <w:proofErr w:type="spellStart"/>
      <w:r>
        <w:rPr>
          <w:rStyle w:val="TextoindependienteCar"/>
        </w:rPr>
        <w:t>serar</w:t>
      </w:r>
      <w:proofErr w:type="spellEnd"/>
      <w:r>
        <w:rPr>
          <w:rStyle w:val="TextoindependienteCar"/>
        </w:rPr>
        <w:t xml:space="preserve"> sustituidas por «cincuenta y cuatro».</w:t>
      </w:r>
    </w:p>
    <w:p w:rsidR="005172BA" w:rsidRDefault="005172BA">
      <w:pPr>
        <w:pStyle w:val="Textoindependiente"/>
        <w:spacing w:after="220"/>
        <w:jc w:val="center"/>
        <w:rPr>
          <w:rStyle w:val="TextoindependienteCar"/>
          <w:i/>
          <w:iCs/>
        </w:rPr>
      </w:pPr>
    </w:p>
    <w:p w:rsidR="00DA0B8C" w:rsidRDefault="009E26F8">
      <w:pPr>
        <w:pStyle w:val="Textoindependiente"/>
        <w:spacing w:after="220"/>
        <w:jc w:val="center"/>
      </w:pPr>
      <w:r>
        <w:rPr>
          <w:rStyle w:val="TextoindependienteCar"/>
          <w:i/>
          <w:iCs/>
        </w:rPr>
        <w:t>Artículo 4</w:t>
      </w:r>
    </w:p>
    <w:p w:rsidR="00DA0B8C" w:rsidRDefault="009E26F8">
      <w:pPr>
        <w:pStyle w:val="Textoindependiente"/>
        <w:spacing w:after="220"/>
        <w:jc w:val="both"/>
      </w:pPr>
      <w:r>
        <w:rPr>
          <w:rStyle w:val="TextoindependienteCar"/>
        </w:rPr>
        <w:t>Queda modificado como sigue el Apéndice II del Acuerdo:</w:t>
      </w:r>
    </w:p>
    <w:p w:rsidR="00DA0B8C" w:rsidRDefault="009E26F8">
      <w:pPr>
        <w:pStyle w:val="Textoindependiente"/>
        <w:numPr>
          <w:ilvl w:val="0"/>
          <w:numId w:val="3"/>
        </w:numPr>
        <w:tabs>
          <w:tab w:val="left" w:pos="346"/>
        </w:tabs>
        <w:spacing w:after="140" w:line="254" w:lineRule="auto"/>
        <w:ind w:left="320" w:hanging="320"/>
        <w:jc w:val="both"/>
      </w:pPr>
      <w:r>
        <w:rPr>
          <w:rStyle w:val="TextoindependienteCar"/>
        </w:rPr>
        <w:t>En la nota 1, al pie de la página 1, se añadirá el texto siguiente:</w:t>
      </w:r>
    </w:p>
    <w:p w:rsidR="00DA0B8C" w:rsidRDefault="009E26F8">
      <w:pPr>
        <w:pStyle w:val="Textoindependiente"/>
        <w:spacing w:after="60" w:line="254" w:lineRule="auto"/>
        <w:ind w:left="840" w:hanging="500"/>
        <w:jc w:val="both"/>
      </w:pPr>
      <w:r>
        <w:rPr>
          <w:rStyle w:val="TextoindependienteCar"/>
        </w:rPr>
        <w:t xml:space="preserve">«— Reglamento </w:t>
      </w:r>
      <w:r>
        <w:rPr>
          <w:rStyle w:val="TextoindependienteCar"/>
        </w:rPr>
        <w:t>(CEE) n° 3298/80 de 18 de diciembre de 1980,</w:t>
      </w:r>
    </w:p>
    <w:p w:rsidR="00DA0B8C" w:rsidRDefault="009E26F8">
      <w:pPr>
        <w:pStyle w:val="Textoindependiente"/>
        <w:spacing w:after="60"/>
        <w:ind w:left="840" w:hanging="380"/>
        <w:jc w:val="both"/>
      </w:pPr>
      <w:r>
        <w:rPr>
          <w:rStyle w:val="TextoindependienteCar"/>
        </w:rPr>
        <w:t>— Reglamento (CEE) n° 1664/81 de 23 de junio de 1981,</w:t>
      </w:r>
    </w:p>
    <w:p w:rsidR="00DA0B8C" w:rsidRDefault="009E26F8">
      <w:pPr>
        <w:pStyle w:val="Textoindependiente"/>
        <w:spacing w:after="60" w:line="254" w:lineRule="auto"/>
        <w:ind w:left="840" w:hanging="380"/>
        <w:jc w:val="both"/>
      </w:pPr>
      <w:r>
        <w:rPr>
          <w:rStyle w:val="TextoindependienteCar"/>
        </w:rPr>
        <w:t>— Reglamento (CEE) n° 2105/81 de 16 de julio de 1981,</w:t>
      </w:r>
    </w:p>
    <w:p w:rsidR="00DA0B8C" w:rsidRDefault="009E26F8">
      <w:pPr>
        <w:pStyle w:val="Textoindependiente"/>
        <w:spacing w:after="60"/>
        <w:ind w:left="840" w:hanging="380"/>
        <w:jc w:val="both"/>
      </w:pPr>
      <w:r>
        <w:rPr>
          <w:rStyle w:val="TextoindependienteCar"/>
        </w:rPr>
        <w:t>— Reglamento (CEE) n° 3220/81 de 11 de noviembre de 1981,</w:t>
      </w:r>
    </w:p>
    <w:p w:rsidR="00DA0B8C" w:rsidRDefault="009E26F8">
      <w:pPr>
        <w:pStyle w:val="Textoindependiente"/>
        <w:spacing w:after="60"/>
        <w:ind w:left="840" w:hanging="380"/>
        <w:jc w:val="both"/>
      </w:pPr>
      <w:r>
        <w:rPr>
          <w:rStyle w:val="TextoindependienteCar"/>
        </w:rPr>
        <w:t xml:space="preserve">— Reglamento (CEE) n° 1499/82 de 11 de junio </w:t>
      </w:r>
      <w:r>
        <w:rPr>
          <w:rStyle w:val="TextoindependienteCar"/>
        </w:rPr>
        <w:t>de 1982,</w:t>
      </w:r>
    </w:p>
    <w:p w:rsidR="00DA0B8C" w:rsidRDefault="009E26F8">
      <w:pPr>
        <w:pStyle w:val="Textoindependiente"/>
        <w:spacing w:after="60" w:line="254" w:lineRule="auto"/>
        <w:ind w:left="840" w:hanging="380"/>
        <w:jc w:val="both"/>
      </w:pPr>
      <w:r>
        <w:rPr>
          <w:rStyle w:val="TextoindependienteCar"/>
        </w:rPr>
        <w:t>— Reglamento (CEE) n° 1482/83 de 8 de junio de 1983,</w:t>
      </w:r>
    </w:p>
    <w:p w:rsidR="00DA0B8C" w:rsidRDefault="009E26F8">
      <w:pPr>
        <w:pStyle w:val="Textoindependiente"/>
        <w:spacing w:after="60" w:line="254" w:lineRule="auto"/>
        <w:ind w:left="840" w:hanging="380"/>
        <w:jc w:val="both"/>
      </w:pPr>
      <w:r>
        <w:rPr>
          <w:rStyle w:val="TextoindependienteCar"/>
        </w:rPr>
        <w:t>— Reglamento (CEE) n° 1209/85 de 3 de mayo de 1985,</w:t>
      </w:r>
    </w:p>
    <w:p w:rsidR="00DA0B8C" w:rsidRDefault="009E26F8">
      <w:pPr>
        <w:pStyle w:val="Textoindependiente"/>
        <w:numPr>
          <w:ilvl w:val="0"/>
          <w:numId w:val="4"/>
        </w:numPr>
        <w:tabs>
          <w:tab w:val="left" w:pos="794"/>
        </w:tabs>
        <w:spacing w:after="60"/>
        <w:ind w:firstLine="420"/>
        <w:jc w:val="both"/>
      </w:pPr>
      <w:r>
        <w:rPr>
          <w:rStyle w:val="TextoindependienteCar"/>
        </w:rPr>
        <w:t>el Acta de adhesión del Reino de España,</w:t>
      </w:r>
    </w:p>
    <w:p w:rsidR="00DA0B8C" w:rsidRDefault="009E26F8">
      <w:pPr>
        <w:pStyle w:val="Textoindependiente"/>
        <w:numPr>
          <w:ilvl w:val="0"/>
          <w:numId w:val="4"/>
        </w:numPr>
        <w:tabs>
          <w:tab w:val="left" w:pos="794"/>
        </w:tabs>
        <w:spacing w:after="220"/>
        <w:ind w:firstLine="420"/>
        <w:jc w:val="both"/>
      </w:pPr>
      <w:r>
        <w:rPr>
          <w:rStyle w:val="TextoindependienteCar"/>
        </w:rPr>
        <w:t>el Acta de adhesión de la República Portuguesa.»;</w:t>
      </w:r>
    </w:p>
    <w:p w:rsidR="00DA0B8C" w:rsidRDefault="009E26F8">
      <w:pPr>
        <w:pStyle w:val="Textoindependiente"/>
        <w:numPr>
          <w:ilvl w:val="0"/>
          <w:numId w:val="3"/>
        </w:numPr>
        <w:tabs>
          <w:tab w:val="left" w:pos="346"/>
        </w:tabs>
        <w:spacing w:after="140"/>
        <w:ind w:left="320" w:hanging="320"/>
        <w:jc w:val="both"/>
      </w:pPr>
      <w:r>
        <w:rPr>
          <w:rStyle w:val="TextoindependienteCar"/>
        </w:rPr>
        <w:t>El apartado 3 del artículo 1 será sustituido por el</w:t>
      </w:r>
      <w:r>
        <w:rPr>
          <w:rStyle w:val="TextoindependienteCar"/>
        </w:rPr>
        <w:t xml:space="preserve"> texto siguiente:</w:t>
      </w:r>
    </w:p>
    <w:p w:rsidR="00DA0B8C" w:rsidRDefault="009E26F8">
      <w:pPr>
        <w:pStyle w:val="Textoindependiente"/>
        <w:spacing w:after="220"/>
        <w:ind w:left="320" w:firstLine="20"/>
        <w:jc w:val="both"/>
      </w:pPr>
      <w:r>
        <w:rPr>
          <w:rStyle w:val="TextoindependienteCar"/>
        </w:rPr>
        <w:t>[«3. Los formularios para el ejemplar especial del documento de tránsito comunitario, en adelante denomi</w:t>
      </w:r>
      <w:r>
        <w:rPr>
          <w:rStyle w:val="TextoindependienteCar"/>
        </w:rPr>
        <w:softHyphen/>
        <w:t>nado “ejemplar de control T n°. 5”, utilizado como prueba de que las mercancías a las que se refiere han recibido un uso y/o un desti</w:t>
      </w:r>
      <w:r>
        <w:rPr>
          <w:rStyle w:val="TextoindependienteCar"/>
        </w:rPr>
        <w:t>no determinados, deberán ajustarse, excepto en lo que se refiere a las dimensiones de las casillas delimitadas total o parcialmente por líneas de puntos, a los modelos que figuran en los Anexos VI, VI A y VI B. El ejemplar de control T n° 5 se expedirá y u</w:t>
      </w:r>
      <w:r>
        <w:rPr>
          <w:rStyle w:val="TextoindependienteCar"/>
        </w:rPr>
        <w:t>tilizará de conformidad con lo dispuesto en los artículos 10 a 13 bis.»]</w:t>
      </w:r>
    </w:p>
    <w:p w:rsidR="00DA0B8C" w:rsidRDefault="009E26F8">
      <w:pPr>
        <w:pStyle w:val="Textoindependiente"/>
        <w:numPr>
          <w:ilvl w:val="0"/>
          <w:numId w:val="3"/>
        </w:numPr>
        <w:tabs>
          <w:tab w:val="left" w:pos="346"/>
        </w:tabs>
        <w:spacing w:after="140" w:line="254" w:lineRule="auto"/>
        <w:ind w:left="320" w:hanging="320"/>
        <w:jc w:val="both"/>
      </w:pPr>
      <w:r>
        <w:rPr>
          <w:rStyle w:val="TextoindependienteCar"/>
        </w:rPr>
        <w:t>El apartado 4 del artículo 2 será sustituido por el texto siguiente:</w:t>
      </w:r>
    </w:p>
    <w:p w:rsidR="00DA0B8C" w:rsidRDefault="009E26F8">
      <w:pPr>
        <w:pStyle w:val="Textoindependiente"/>
        <w:spacing w:after="220"/>
        <w:ind w:left="320" w:firstLine="20"/>
        <w:jc w:val="both"/>
      </w:pPr>
      <w:r>
        <w:rPr>
          <w:rStyle w:val="TextoindependienteCar"/>
        </w:rPr>
        <w:t xml:space="preserve">«4. El papel al que se refieren los apartados 1, 2 y 3 será de color blanco, excepto para las listas de carga </w:t>
      </w:r>
      <w:r>
        <w:rPr>
          <w:rStyle w:val="TextoindependienteCar"/>
        </w:rPr>
        <w:t>mencionadas en el apartado 2 del artículo 1, para las que el color del papel se dejará a elección de los interesa</w:t>
      </w:r>
      <w:r>
        <w:rPr>
          <w:rStyle w:val="TextoindependienteCar"/>
        </w:rPr>
        <w:softHyphen/>
        <w:t>dos».</w:t>
      </w:r>
    </w:p>
    <w:p w:rsidR="00DA0B8C" w:rsidRDefault="009E26F8">
      <w:pPr>
        <w:pStyle w:val="Textoindependiente"/>
        <w:numPr>
          <w:ilvl w:val="0"/>
          <w:numId w:val="3"/>
        </w:numPr>
        <w:tabs>
          <w:tab w:val="left" w:pos="346"/>
        </w:tabs>
        <w:spacing w:after="140"/>
        <w:ind w:left="320" w:hanging="320"/>
        <w:jc w:val="both"/>
      </w:pPr>
      <w:r>
        <w:rPr>
          <w:rStyle w:val="TextoindependienteCar"/>
        </w:rPr>
        <w:t>Al apartado 5 del artículo 2 se le añadirá el párrafo siguiente:</w:t>
      </w:r>
    </w:p>
    <w:p w:rsidR="00DA0B8C" w:rsidRDefault="009E26F8">
      <w:pPr>
        <w:pStyle w:val="Textoindependiente"/>
        <w:spacing w:after="220"/>
        <w:ind w:left="320" w:firstLine="20"/>
        <w:jc w:val="both"/>
      </w:pPr>
      <w:r>
        <w:rPr>
          <w:rStyle w:val="TextoindependienteCar"/>
        </w:rPr>
        <w:t>[«d) 297 milímetros por 420 para las listas de carga T5 cuyo modelo fig</w:t>
      </w:r>
      <w:r>
        <w:rPr>
          <w:rStyle w:val="TextoindependienteCar"/>
        </w:rPr>
        <w:t xml:space="preserve">ura en el Anexo VI B; se admitirá una tolerancia máxima en su longitud de — 5 mm a + 8 </w:t>
      </w:r>
      <w:proofErr w:type="spellStart"/>
      <w:r>
        <w:rPr>
          <w:rStyle w:val="TextoindependienteCar"/>
        </w:rPr>
        <w:t>mm.</w:t>
      </w:r>
      <w:proofErr w:type="spellEnd"/>
      <w:r>
        <w:rPr>
          <w:rStyle w:val="TextoindependienteCar"/>
        </w:rPr>
        <w:t>»]</w:t>
      </w:r>
    </w:p>
    <w:p w:rsidR="00DA0B8C" w:rsidRDefault="009E26F8">
      <w:pPr>
        <w:pStyle w:val="Textoindependiente"/>
        <w:numPr>
          <w:ilvl w:val="0"/>
          <w:numId w:val="3"/>
        </w:numPr>
        <w:tabs>
          <w:tab w:val="left" w:pos="346"/>
        </w:tabs>
        <w:spacing w:after="140"/>
        <w:ind w:left="320" w:hanging="320"/>
        <w:jc w:val="both"/>
      </w:pPr>
      <w:r>
        <w:rPr>
          <w:rStyle w:val="TextoindependienteCar"/>
        </w:rPr>
        <w:t>El apartado 11 del artículo 2 será sustituido por el texto siguiente:</w:t>
      </w:r>
    </w:p>
    <w:p w:rsidR="005172BA" w:rsidRDefault="009E26F8" w:rsidP="005172BA">
      <w:pPr>
        <w:pStyle w:val="Textoindependiente"/>
        <w:spacing w:after="140"/>
        <w:ind w:left="320" w:firstLine="20"/>
        <w:jc w:val="both"/>
        <w:rPr>
          <w:rStyle w:val="TextoindependienteCar"/>
        </w:rPr>
      </w:pPr>
      <w:r>
        <w:rPr>
          <w:rStyle w:val="TextoindependienteCar"/>
        </w:rPr>
        <w:t>[«11. Las disposiciones de los apartados 2, 4, la letra a) del apartado 5, los párrafos prime</w:t>
      </w:r>
      <w:r>
        <w:rPr>
          <w:rStyle w:val="TextoindependienteCar"/>
        </w:rPr>
        <w:t>ro y segundo del apartado 6, el apartado 9 y los párrafos segundo y tercero del apartado 10 serán aplicables igualmente a los formu</w:t>
      </w:r>
      <w:r>
        <w:rPr>
          <w:rStyle w:val="TextoindependienteCar"/>
        </w:rPr>
        <w:softHyphen/>
      </w:r>
      <w:r>
        <w:rPr>
          <w:rStyle w:val="TextoindependienteCar"/>
        </w:rPr>
        <w:t xml:space="preserve">larios del ejemplar de control T n° 5. </w:t>
      </w:r>
    </w:p>
    <w:p w:rsidR="00DA0B8C" w:rsidRDefault="009E26F8" w:rsidP="005172BA">
      <w:pPr>
        <w:pStyle w:val="Textoindependiente"/>
        <w:spacing w:after="140"/>
        <w:ind w:left="320" w:firstLine="20"/>
        <w:jc w:val="both"/>
        <w:rPr>
          <w:rStyle w:val="TextoindependienteCar"/>
        </w:rPr>
      </w:pPr>
      <w:bookmarkStart w:id="0" w:name="_GoBack"/>
      <w:bookmarkEnd w:id="0"/>
      <w:r>
        <w:rPr>
          <w:rStyle w:val="TextoindependienteCar"/>
        </w:rPr>
        <w:t>No obstante, la impresión de fondo de garantía a que se refiere el apartado 2 será d</w:t>
      </w:r>
      <w:r>
        <w:rPr>
          <w:rStyle w:val="TextoindependienteCar"/>
        </w:rPr>
        <w:t>e color azul para el anverso y el reverso de los originales de los ejemplares de control T n° 5 y para el anverso de los originales de las lista T5 bis y las listas de carga T5.»]</w:t>
      </w:r>
    </w:p>
    <w:p w:rsidR="005172BA" w:rsidRDefault="005172BA">
      <w:pPr>
        <w:pStyle w:val="Textoindependiente"/>
        <w:spacing w:after="320"/>
        <w:ind w:left="300" w:firstLine="40"/>
        <w:jc w:val="both"/>
        <w:rPr>
          <w:rStyle w:val="TextoindependienteCar"/>
        </w:rPr>
      </w:pPr>
    </w:p>
    <w:p w:rsidR="005172BA" w:rsidRDefault="005172BA">
      <w:pPr>
        <w:pStyle w:val="Textoindependiente"/>
        <w:spacing w:after="320"/>
        <w:ind w:left="300" w:firstLine="40"/>
        <w:jc w:val="both"/>
      </w:pPr>
    </w:p>
    <w:p w:rsidR="00DA0B8C" w:rsidRDefault="009E26F8">
      <w:pPr>
        <w:pStyle w:val="Textoindependiente"/>
        <w:numPr>
          <w:ilvl w:val="0"/>
          <w:numId w:val="3"/>
        </w:numPr>
        <w:tabs>
          <w:tab w:val="left" w:pos="336"/>
        </w:tabs>
        <w:spacing w:after="220"/>
        <w:jc w:val="both"/>
      </w:pPr>
      <w:r>
        <w:rPr>
          <w:rStyle w:val="TextoindependienteCar"/>
        </w:rPr>
        <w:t>El artículo 10 será sustituido por el texto siguiente:</w:t>
      </w:r>
    </w:p>
    <w:p w:rsidR="00DA0B8C" w:rsidRDefault="009E26F8">
      <w:pPr>
        <w:pStyle w:val="Textoindependiente"/>
        <w:spacing w:after="220"/>
        <w:ind w:firstLine="300"/>
        <w:jc w:val="both"/>
      </w:pPr>
      <w:r>
        <w:rPr>
          <w:rStyle w:val="TextoindependienteCar"/>
          <w:i/>
          <w:iCs/>
        </w:rPr>
        <w:t>[«Artículo 10</w:t>
      </w:r>
    </w:p>
    <w:p w:rsidR="00DA0B8C" w:rsidRDefault="009E26F8">
      <w:pPr>
        <w:pStyle w:val="Textoindependiente"/>
        <w:spacing w:after="320"/>
        <w:ind w:left="300" w:firstLine="40"/>
        <w:jc w:val="both"/>
      </w:pPr>
      <w:r>
        <w:rPr>
          <w:rStyle w:val="TextoindependienteCar"/>
        </w:rPr>
        <w:t xml:space="preserve">Cuando </w:t>
      </w:r>
      <w:r>
        <w:rPr>
          <w:rStyle w:val="TextoindependienteCar"/>
        </w:rPr>
        <w:t>la aplicación de una medida comunitaria adop</w:t>
      </w:r>
      <w:r>
        <w:rPr>
          <w:rStyle w:val="TextoindependienteCar"/>
        </w:rPr>
        <w:softHyphen/>
        <w:t>tada en materia de importación o de exportación de mercancías o de circulación de mercancías en el interior de la Comunidad, esté supeditada a la prueba de que tales mercancías han recibido el uso y/o el destino</w:t>
      </w:r>
      <w:r>
        <w:rPr>
          <w:rStyle w:val="TextoindependienteCar"/>
        </w:rPr>
        <w:t xml:space="preserve"> previstos o prescritos por dicha medida, la citada prueba consistirá en la presentación del ejemplar de control T n° 5. Por ejemplar de control T n° 5, se entenderá un ejemplar extendido en un formulario T5, completado, en su caso, con uno o más formulari</w:t>
      </w:r>
      <w:r>
        <w:rPr>
          <w:rStyle w:val="TextoindependienteCar"/>
        </w:rPr>
        <w:t xml:space="preserve">os T5 bis, en las condiciones contempladas en el artículo 10 bis, o con una o más listas de carga T5 en las condiciones contempladas en los artículos 10 ter y 10 </w:t>
      </w:r>
      <w:proofErr w:type="spellStart"/>
      <w:r>
        <w:rPr>
          <w:rStyle w:val="TextoindependienteCar"/>
        </w:rPr>
        <w:t>quater</w:t>
      </w:r>
      <w:proofErr w:type="spellEnd"/>
      <w:r>
        <w:rPr>
          <w:rStyle w:val="TextoindependienteCar"/>
        </w:rPr>
        <w:t>».]</w:t>
      </w:r>
    </w:p>
    <w:p w:rsidR="00DA0B8C" w:rsidRDefault="009E26F8">
      <w:pPr>
        <w:pStyle w:val="Textoindependiente"/>
        <w:numPr>
          <w:ilvl w:val="0"/>
          <w:numId w:val="3"/>
        </w:numPr>
        <w:tabs>
          <w:tab w:val="left" w:pos="336"/>
        </w:tabs>
        <w:spacing w:after="220"/>
        <w:ind w:left="300" w:hanging="300"/>
        <w:jc w:val="both"/>
      </w:pPr>
      <w:r>
        <w:rPr>
          <w:rStyle w:val="TextoindependienteCar"/>
        </w:rPr>
        <w:t>Después del artículo 10 se incluirán los artículos siguien</w:t>
      </w:r>
      <w:r>
        <w:rPr>
          <w:rStyle w:val="TextoindependienteCar"/>
        </w:rPr>
        <w:softHyphen/>
        <w:t>tes:</w:t>
      </w:r>
    </w:p>
    <w:p w:rsidR="00DA0B8C" w:rsidRDefault="009E26F8">
      <w:pPr>
        <w:pStyle w:val="Textoindependiente"/>
        <w:spacing w:after="220"/>
        <w:ind w:firstLine="300"/>
        <w:jc w:val="both"/>
      </w:pPr>
      <w:r>
        <w:rPr>
          <w:rStyle w:val="TextoindependienteCar"/>
          <w:i/>
          <w:iCs/>
        </w:rPr>
        <w:t>[«Artículo 10 bis</w:t>
      </w:r>
    </w:p>
    <w:p w:rsidR="00DA0B8C" w:rsidRDefault="009E26F8">
      <w:pPr>
        <w:pStyle w:val="Textoindependiente"/>
        <w:numPr>
          <w:ilvl w:val="0"/>
          <w:numId w:val="5"/>
        </w:numPr>
        <w:tabs>
          <w:tab w:val="left" w:pos="916"/>
        </w:tabs>
        <w:spacing w:after="220"/>
        <w:ind w:left="300" w:firstLine="40"/>
        <w:jc w:val="both"/>
      </w:pPr>
      <w:r>
        <w:rPr>
          <w:rStyle w:val="TextoindependienteCar"/>
        </w:rPr>
        <w:t>Las autoridades aduaneras competentes de cada Estado miembro podrán permitir a las empresas estable</w:t>
      </w:r>
      <w:r>
        <w:rPr>
          <w:rStyle w:val="TextoindependienteCar"/>
        </w:rPr>
        <w:softHyphen/>
        <w:t>cidas en su territorio, completar el ejemplar de control T n° 5 con una o más listas T5 bis, siempre que todos estos formularios correspondan a una sola exp</w:t>
      </w:r>
      <w:r>
        <w:rPr>
          <w:rStyle w:val="TextoindependienteCar"/>
        </w:rPr>
        <w:t>edición de mercancías cargadas en un solo medio de transporte, destinadas a un único destinatario y que deban recibir un solo uso y/o destino.</w:t>
      </w:r>
    </w:p>
    <w:p w:rsidR="00DA0B8C" w:rsidRDefault="009E26F8">
      <w:pPr>
        <w:pStyle w:val="Textoindependiente"/>
        <w:numPr>
          <w:ilvl w:val="0"/>
          <w:numId w:val="5"/>
        </w:numPr>
        <w:tabs>
          <w:tab w:val="left" w:pos="916"/>
          <w:tab w:val="left" w:leader="dot" w:pos="1351"/>
        </w:tabs>
        <w:spacing w:after="220"/>
        <w:ind w:left="300" w:firstLine="40"/>
        <w:jc w:val="both"/>
      </w:pPr>
      <w:r>
        <w:rPr>
          <w:rStyle w:val="TextoindependienteCar"/>
        </w:rPr>
        <w:t>En caso de utilización de listas T5 bis, el compro</w:t>
      </w:r>
      <w:r>
        <w:rPr>
          <w:rStyle w:val="TextoindependienteCar"/>
        </w:rPr>
        <w:softHyphen/>
        <w:t xml:space="preserve">miso del interesado que figura en la casilla 108 del ejemplar </w:t>
      </w:r>
      <w:r>
        <w:rPr>
          <w:rStyle w:val="TextoindependienteCar"/>
        </w:rPr>
        <w:t>de control T n° 5 quedará redactado en los siguientes términos: “El interesado, representado por</w:t>
      </w:r>
      <w:r>
        <w:rPr>
          <w:rStyle w:val="TextoindependienteCar"/>
        </w:rPr>
        <w:tab/>
        <w:t>se compromete a dar a las mercancías que se designan más arriba y en la(s) lista(s) T5 bis anexa(s), el uso y/o el destino declarado(s)”.</w:t>
      </w:r>
    </w:p>
    <w:p w:rsidR="00DA0B8C" w:rsidRDefault="009E26F8">
      <w:pPr>
        <w:pStyle w:val="Textoindependiente"/>
        <w:numPr>
          <w:ilvl w:val="0"/>
          <w:numId w:val="5"/>
        </w:numPr>
        <w:tabs>
          <w:tab w:val="left" w:pos="916"/>
        </w:tabs>
        <w:spacing w:after="320"/>
        <w:ind w:left="300" w:firstLine="40"/>
        <w:jc w:val="both"/>
      </w:pPr>
      <w:r>
        <w:rPr>
          <w:rStyle w:val="TextoindependienteCar"/>
        </w:rPr>
        <w:t>El número de listas T</w:t>
      </w:r>
      <w:r>
        <w:rPr>
          <w:rStyle w:val="TextoindependienteCar"/>
        </w:rPr>
        <w:t xml:space="preserve">5 </w:t>
      </w:r>
      <w:proofErr w:type="gramStart"/>
      <w:r>
        <w:rPr>
          <w:rStyle w:val="TextoindependienteCar"/>
        </w:rPr>
        <w:t>bis utilizadas</w:t>
      </w:r>
      <w:proofErr w:type="gramEnd"/>
      <w:r>
        <w:rPr>
          <w:rStyle w:val="TextoindependienteCar"/>
        </w:rPr>
        <w:t>, así como los números de serie impresos, se indicarán en la casilla 107 del ejemplar de control T n° 5 al que acompañen. El número de registro del ejemplar de control T n° 5 se indicará en la casilla reservada para el registro de cada list</w:t>
      </w:r>
      <w:r>
        <w:rPr>
          <w:rStyle w:val="TextoindependienteCar"/>
        </w:rPr>
        <w:t>a T5 bis.]</w:t>
      </w:r>
    </w:p>
    <w:p w:rsidR="00DA0B8C" w:rsidRDefault="009E26F8">
      <w:pPr>
        <w:pStyle w:val="Textoindependiente"/>
        <w:spacing w:after="220"/>
        <w:ind w:firstLine="300"/>
        <w:jc w:val="both"/>
      </w:pPr>
      <w:r>
        <w:rPr>
          <w:rStyle w:val="TextoindependienteCar"/>
          <w:i/>
          <w:iCs/>
        </w:rPr>
        <w:t>[Artículo 10 ter</w:t>
      </w:r>
    </w:p>
    <w:p w:rsidR="00DA0B8C" w:rsidRDefault="009E26F8">
      <w:pPr>
        <w:pStyle w:val="Textoindependiente"/>
        <w:numPr>
          <w:ilvl w:val="0"/>
          <w:numId w:val="6"/>
        </w:numPr>
        <w:tabs>
          <w:tab w:val="left" w:pos="916"/>
        </w:tabs>
        <w:spacing w:after="220"/>
        <w:ind w:left="300" w:firstLine="40"/>
        <w:jc w:val="both"/>
      </w:pPr>
      <w:r>
        <w:rPr>
          <w:rStyle w:val="TextoindependienteCar"/>
        </w:rPr>
        <w:t>Las autoridades aduaneras competentes de cada Estado miembro podrán permitir a las empresas estable</w:t>
      </w:r>
      <w:r>
        <w:rPr>
          <w:rStyle w:val="TextoindependienteCar"/>
        </w:rPr>
        <w:softHyphen/>
        <w:t>cidas en su territorio completar el ejemplar de control T n° 5 con una o más listas de carga T5 que recojan las indicaciones que</w:t>
      </w:r>
      <w:r>
        <w:rPr>
          <w:rStyle w:val="TextoindependienteCar"/>
        </w:rPr>
        <w:t xml:space="preserve"> normalmente figuran en las casillas 41, 43, 49, 100 a 103 y 105 del formulario T5, siempre que todos estos formularios se refieran a una sola expedición de mercancías cargadas sobre un solo medio, de trans</w:t>
      </w:r>
      <w:r>
        <w:rPr>
          <w:rStyle w:val="TextoindependienteCar"/>
        </w:rPr>
        <w:softHyphen/>
        <w:t>porte, destinadas a un único destinatario y que d</w:t>
      </w:r>
      <w:r>
        <w:rPr>
          <w:rStyle w:val="TextoindependienteCar"/>
        </w:rPr>
        <w:t>eban recibir un solo uso y/o destino.</w:t>
      </w:r>
    </w:p>
    <w:sectPr w:rsidR="00DA0B8C">
      <w:type w:val="continuous"/>
      <w:pgSz w:w="15869" w:h="22464"/>
      <w:pgMar w:top="2399" w:right="1610" w:bottom="1532" w:left="1242" w:header="0" w:footer="3" w:gutter="0"/>
      <w:cols w:num="2" w:space="5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F8" w:rsidRDefault="009E26F8">
      <w:r>
        <w:separator/>
      </w:r>
    </w:p>
  </w:endnote>
  <w:endnote w:type="continuationSeparator" w:id="0">
    <w:p w:rsidR="009E26F8" w:rsidRDefault="009E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F8" w:rsidRDefault="009E26F8"/>
  </w:footnote>
  <w:footnote w:type="continuationSeparator" w:id="0">
    <w:p w:rsidR="009E26F8" w:rsidRDefault="009E26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8C" w:rsidRDefault="009E26F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1075690</wp:posOffset>
              </wp:positionV>
              <wp:extent cx="8195945" cy="1524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594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B8C" w:rsidRDefault="009E26F8">
                          <w:pPr>
                            <w:pStyle w:val="Headerorfooter0"/>
                            <w:tabs>
                              <w:tab w:val="left" w:pos="4138"/>
                              <w:tab w:val="right" w:pos="12907"/>
                            </w:tabs>
                          </w:pPr>
                          <w:r>
                            <w:rPr>
                              <w:rStyle w:val="Headerorfooter"/>
                            </w:rPr>
                            <w:t>29. 5. 86</w:t>
                          </w:r>
                          <w:r>
                            <w:rPr>
                              <w:rStyle w:val="Headerorfooter"/>
                            </w:rPr>
                            <w:tab/>
                            <w:t>Diario Oficial de las Comunidades Europeas</w:t>
                          </w:r>
                          <w:r>
                            <w:rPr>
                              <w:rStyle w:val="Headerorfooter"/>
                            </w:rPr>
                            <w:tab/>
                            <w:t>N° L 143/</w:t>
                          </w:r>
                          <w:r>
                            <w:rPr>
                              <w:rStyle w:val="Headerorfooter"/>
                            </w:rPr>
                            <w:fldChar w:fldCharType="begin"/>
                          </w:r>
                          <w:r>
                            <w:rPr>
                              <w:rStyle w:val="Headerorfooter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"/>
                            </w:rPr>
                            <w:fldChar w:fldCharType="separate"/>
                          </w:r>
                          <w:r w:rsidR="005172BA">
                            <w:rPr>
                              <w:rStyle w:val="Headerorfooter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64.5pt;margin-top:84.7pt;width:645.3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" filled="f" stroked="f">
              <v:textbox style="mso-fit-shape-to-text:t" inset="0,0,0,0">
                <w:txbxContent>
                  <w:p w:rsidR="00DA0B8C" w:rsidRDefault="009E26F8">
                    <w:pPr>
                      <w:pStyle w:val="Headerorfooter0"/>
                      <w:tabs>
                        <w:tab w:val="left" w:pos="4138"/>
                        <w:tab w:val="right" w:pos="12907"/>
                      </w:tabs>
                    </w:pPr>
                    <w:r>
                      <w:rPr>
                        <w:rStyle w:val="Headerorfooter"/>
                      </w:rPr>
                      <w:t>29. 5. 86</w:t>
                    </w:r>
                    <w:r>
                      <w:rPr>
                        <w:rStyle w:val="Headerorfooter"/>
                      </w:rPr>
                      <w:tab/>
                      <w:t>Diario Oficial de las Comunidades Europeas</w:t>
                    </w:r>
                    <w:r>
                      <w:rPr>
                        <w:rStyle w:val="Headerorfooter"/>
                      </w:rPr>
                      <w:tab/>
                      <w:t>N° L 143/</w:t>
                    </w:r>
                    <w:r>
                      <w:rPr>
                        <w:rStyle w:val="Headerorfooter"/>
                      </w:rPr>
                      <w:fldChar w:fldCharType="begin"/>
                    </w:r>
                    <w:r>
                      <w:rPr>
                        <w:rStyle w:val="Headerorfooter"/>
                      </w:rPr>
                      <w:instrText xml:space="preserve"> PAGE \* MERGEFORMAT </w:instrText>
                    </w:r>
                    <w:r>
                      <w:rPr>
                        <w:rStyle w:val="Headerorfooter"/>
                      </w:rPr>
                      <w:fldChar w:fldCharType="separate"/>
                    </w:r>
                    <w:r w:rsidR="005172BA">
                      <w:rPr>
                        <w:rStyle w:val="Headerorfooter"/>
                        <w:noProof/>
                      </w:rPr>
                      <w:t>3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1352550</wp:posOffset>
              </wp:positionV>
              <wp:extent cx="82080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80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pt;margin-top:106.5pt;width:646.30000000000007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8C" w:rsidRDefault="009E26F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1073150</wp:posOffset>
              </wp:positionV>
              <wp:extent cx="8199120" cy="14922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912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B8C" w:rsidRDefault="009E26F8">
                          <w:pPr>
                            <w:pStyle w:val="Headerorfooter0"/>
                            <w:tabs>
                              <w:tab w:val="right" w:pos="8779"/>
                              <w:tab w:val="right" w:pos="12912"/>
                            </w:tabs>
                          </w:pPr>
                          <w:r>
                            <w:rPr>
                              <w:rStyle w:val="Headerorfooter"/>
                            </w:rPr>
                            <w:t>N° L 143/</w:t>
                          </w:r>
                          <w:r>
                            <w:rPr>
                              <w:rStyle w:val="Headerorfooter"/>
                            </w:rPr>
                            <w:fldChar w:fldCharType="begin"/>
                          </w:r>
                          <w:r>
                            <w:rPr>
                              <w:rStyle w:val="Headerorfooter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"/>
                            </w:rPr>
                            <w:fldChar w:fldCharType="separate"/>
                          </w:r>
                          <w:r w:rsidR="005172BA">
                            <w:rPr>
                              <w:rStyle w:val="Headerorfooter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  <w:r>
                            <w:rPr>
                              <w:rStyle w:val="Headerorfooter"/>
                            </w:rPr>
                            <w:tab/>
                            <w:t>Diario Oficial de las Comunidades Europeas</w:t>
                          </w:r>
                          <w:r>
                            <w:rPr>
                              <w:rStyle w:val="Headerorfooter"/>
                            </w:rPr>
                            <w:tab/>
                            <w:t>29. 5. 86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81.35pt;margin-top:84.5pt;width:645.6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" filled="f" stroked="f">
              <v:textbox style="mso-fit-shape-to-text:t" inset="0,0,0,0">
                <w:txbxContent>
                  <w:p w:rsidR="00DA0B8C" w:rsidRDefault="009E26F8">
                    <w:pPr>
                      <w:pStyle w:val="Headerorfooter0"/>
                      <w:tabs>
                        <w:tab w:val="right" w:pos="8779"/>
                        <w:tab w:val="right" w:pos="12912"/>
                      </w:tabs>
                    </w:pPr>
                    <w:r>
                      <w:rPr>
                        <w:rStyle w:val="Headerorfooter"/>
                      </w:rPr>
                      <w:t>N° L 143/</w:t>
                    </w:r>
                    <w:r>
                      <w:rPr>
                        <w:rStyle w:val="Headerorfooter"/>
                      </w:rPr>
                      <w:fldChar w:fldCharType="begin"/>
                    </w:r>
                    <w:r>
                      <w:rPr>
                        <w:rStyle w:val="Headerorfooter"/>
                      </w:rPr>
                      <w:instrText xml:space="preserve"> PAGE \* MERGEFORMAT </w:instrText>
                    </w:r>
                    <w:r>
                      <w:rPr>
                        <w:rStyle w:val="Headerorfooter"/>
                      </w:rPr>
                      <w:fldChar w:fldCharType="separate"/>
                    </w:r>
                    <w:r w:rsidR="005172BA">
                      <w:rPr>
                        <w:rStyle w:val="Headerorfooter"/>
                        <w:noProof/>
                      </w:rPr>
                      <w:t>2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  <w:r>
                      <w:rPr>
                        <w:rStyle w:val="Headerorfooter"/>
                      </w:rPr>
                      <w:tab/>
                      <w:t>Diario Oficial de las Comunidades Europeas</w:t>
                    </w:r>
                    <w:r>
                      <w:rPr>
                        <w:rStyle w:val="Headerorfooter"/>
                      </w:rPr>
                      <w:tab/>
                      <w:t>29. 5. 86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1332230</wp:posOffset>
              </wp:positionV>
              <wp:extent cx="821436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43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1.100000000000009pt;margin-top:104.90000000000001pt;width:646.80000000000007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0AA0"/>
    <w:multiLevelType w:val="multilevel"/>
    <w:tmpl w:val="7F78C3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01865"/>
    <w:multiLevelType w:val="multilevel"/>
    <w:tmpl w:val="1B18E8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3639D"/>
    <w:multiLevelType w:val="multilevel"/>
    <w:tmpl w:val="77F67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C35DC0"/>
    <w:multiLevelType w:val="multilevel"/>
    <w:tmpl w:val="918EA2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078FE"/>
    <w:multiLevelType w:val="multilevel"/>
    <w:tmpl w:val="04EC51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750626"/>
    <w:multiLevelType w:val="multilevel"/>
    <w:tmpl w:val="3B0C9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C"/>
    <w:rsid w:val="005172BA"/>
    <w:rsid w:val="009E26F8"/>
    <w:rsid w:val="00D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5ACEC-2531-44BE-A054-01B3C1E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Fuentedeprrafopredeter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Textoindependiente">
    <w:name w:val="Body Text"/>
    <w:basedOn w:val="Normal"/>
    <w:link w:val="TextoindependienteCar"/>
    <w:qFormat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Chao119</cp:lastModifiedBy>
  <cp:revision>2</cp:revision>
  <dcterms:created xsi:type="dcterms:W3CDTF">2024-11-30T19:01:00Z</dcterms:created>
  <dcterms:modified xsi:type="dcterms:W3CDTF">2024-11-30T19:06:00Z</dcterms:modified>
</cp:coreProperties>
</file>