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5E8" w:rsidRDefault="00FF0D0A">
      <w:pPr>
        <w:pStyle w:val="Textoindependiente"/>
        <w:spacing w:after="0" w:line="454" w:lineRule="auto"/>
        <w:jc w:val="center"/>
      </w:pPr>
      <w:r>
        <w:rPr>
          <w:rStyle w:val="TextoindependienteCar"/>
        </w:rPr>
        <w:t>DECISION No 2/85 OF THE EEC-AUSTRIA JOINT COMMITTEE</w:t>
      </w:r>
      <w:r>
        <w:rPr>
          <w:rStyle w:val="TextoindependienteCar"/>
        </w:rPr>
        <w:br/>
        <w:t>‘Community Transit’</w:t>
      </w:r>
      <w:r>
        <w:rPr>
          <w:rStyle w:val="TextoindependienteCar"/>
        </w:rPr>
        <w:br/>
        <w:t>of 5 December 1985</w:t>
      </w:r>
    </w:p>
    <w:p w:rsidR="00F975E8" w:rsidRDefault="00FF0D0A">
      <w:pPr>
        <w:pStyle w:val="Textoindependiente"/>
        <w:spacing w:after="0"/>
        <w:jc w:val="center"/>
        <w:sectPr w:rsidR="00F975E8">
          <w:headerReference w:type="default" r:id="rId7"/>
          <w:headerReference w:type="first" r:id="rId8"/>
          <w:pgSz w:w="15864" w:h="22459"/>
          <w:pgMar w:top="2731" w:right="1053" w:bottom="1473" w:left="1759" w:header="0" w:footer="3" w:gutter="0"/>
          <w:pgNumType w:start="2"/>
          <w:cols w:space="720"/>
          <w:noEndnote/>
          <w:titlePg/>
          <w:docGrid w:linePitch="360"/>
        </w:sectPr>
      </w:pPr>
      <w:proofErr w:type="gramStart"/>
      <w:r>
        <w:rPr>
          <w:rStyle w:val="TextoindependienteCar"/>
        </w:rPr>
        <w:t>on</w:t>
      </w:r>
      <w:proofErr w:type="gramEnd"/>
      <w:r>
        <w:rPr>
          <w:rStyle w:val="TextoindependienteCar"/>
        </w:rPr>
        <w:t xml:space="preserve"> the Spanish and Portuguese texts of the Agreement between the European Economic</w:t>
      </w:r>
      <w:r>
        <w:rPr>
          <w:rStyle w:val="TextoindependienteCar"/>
        </w:rPr>
        <w:br/>
        <w:t>Community and the Republic of Austria on the app</w:t>
      </w:r>
      <w:r>
        <w:rPr>
          <w:rStyle w:val="TextoindependienteCar"/>
        </w:rPr>
        <w:t>lication of the rules on Community transit,</w:t>
      </w:r>
      <w:r>
        <w:rPr>
          <w:rStyle w:val="TextoindependienteCar"/>
        </w:rPr>
        <w:br/>
        <w:t>and amending the Appendices thereto</w:t>
      </w:r>
    </w:p>
    <w:p w:rsidR="00F975E8" w:rsidRDefault="00F975E8">
      <w:pPr>
        <w:spacing w:line="240" w:lineRule="exact"/>
        <w:rPr>
          <w:sz w:val="19"/>
          <w:szCs w:val="19"/>
        </w:rPr>
      </w:pPr>
    </w:p>
    <w:p w:rsidR="00F975E8" w:rsidRDefault="00F975E8">
      <w:pPr>
        <w:spacing w:before="108" w:after="108" w:line="240" w:lineRule="exact"/>
        <w:rPr>
          <w:sz w:val="19"/>
          <w:szCs w:val="19"/>
        </w:rPr>
      </w:pPr>
    </w:p>
    <w:p w:rsidR="00F975E8" w:rsidRDefault="00F975E8">
      <w:pPr>
        <w:spacing w:line="1" w:lineRule="exact"/>
        <w:sectPr w:rsidR="00F975E8">
          <w:type w:val="continuous"/>
          <w:pgSz w:w="15864" w:h="22459"/>
          <w:pgMar w:top="2406" w:right="0" w:bottom="1434" w:left="0" w:header="0" w:footer="3" w:gutter="0"/>
          <w:cols w:space="720"/>
          <w:noEndnote/>
          <w:docGrid w:linePitch="360"/>
        </w:sectPr>
      </w:pPr>
    </w:p>
    <w:p w:rsidR="00F975E8" w:rsidRDefault="00FF0D0A">
      <w:pPr>
        <w:pStyle w:val="Textoindependiente"/>
        <w:spacing w:after="420"/>
        <w:jc w:val="both"/>
        <w:rPr>
          <w:sz w:val="22"/>
          <w:szCs w:val="22"/>
        </w:rPr>
      </w:pPr>
      <w:r>
        <w:rPr>
          <w:rStyle w:val="TextoindependienteCar"/>
          <w:sz w:val="22"/>
          <w:szCs w:val="22"/>
        </w:rPr>
        <w:t>THE JOINT COMMITTEE,</w:t>
      </w:r>
    </w:p>
    <w:p w:rsidR="00F975E8" w:rsidRDefault="00FF0D0A">
      <w:pPr>
        <w:pStyle w:val="Textoindependiente"/>
        <w:spacing w:after="420"/>
        <w:jc w:val="both"/>
      </w:pPr>
      <w:r>
        <w:rPr>
          <w:rStyle w:val="TextoindependienteCar"/>
        </w:rPr>
        <w:t>Having regard to the Agreement between the European Economic Community and the Republic of Austria on the application of the rules</w:t>
      </w:r>
      <w:r>
        <w:rPr>
          <w:rStyle w:val="TextoindependienteCar"/>
        </w:rPr>
        <w:t xml:space="preserve"> on Community transit, and in particular Article 16 (3) (a) and (c) thereof,</w:t>
      </w:r>
    </w:p>
    <w:p w:rsidR="00F975E8" w:rsidRDefault="00FF0D0A">
      <w:pPr>
        <w:pStyle w:val="Textoindependiente"/>
        <w:spacing w:after="420" w:line="252" w:lineRule="auto"/>
        <w:jc w:val="both"/>
      </w:pPr>
      <w:r>
        <w:rPr>
          <w:rStyle w:val="TextoindependienteCar"/>
        </w:rPr>
        <w:t>Whereas, on their accession to the Community, the Kingdom of Spain and the Portuguese Republic will be bound by the abovementioned agreement;</w:t>
      </w:r>
    </w:p>
    <w:p w:rsidR="00F975E8" w:rsidRDefault="00FF0D0A">
      <w:pPr>
        <w:pStyle w:val="Textoindependiente"/>
        <w:spacing w:after="420"/>
        <w:jc w:val="both"/>
      </w:pPr>
      <w:r>
        <w:rPr>
          <w:rStyle w:val="TextoindependienteCar"/>
        </w:rPr>
        <w:t>Whereas it should be specified that t</w:t>
      </w:r>
      <w:r>
        <w:rPr>
          <w:rStyle w:val="TextoindependienteCar"/>
        </w:rPr>
        <w:t>he texts of the Agreement in Spanish and Portuguese are as authentic as those in Danish, Dutch, English, French, German, Greek and Italian;</w:t>
      </w:r>
    </w:p>
    <w:p w:rsidR="00F975E8" w:rsidRDefault="00FF0D0A">
      <w:pPr>
        <w:pStyle w:val="Textoindependiente"/>
        <w:spacing w:after="420"/>
        <w:jc w:val="both"/>
      </w:pPr>
      <w:r>
        <w:rPr>
          <w:rStyle w:val="TextoindependienteCar"/>
        </w:rPr>
        <w:t xml:space="preserve">Whereas the rules on Community transit have been amended by the acts relating to the conditions of accession of the </w:t>
      </w:r>
      <w:r>
        <w:rPr>
          <w:rStyle w:val="TextoindependienteCar"/>
        </w:rPr>
        <w:t>Kingdom of Spain and the Portuguese Republic and to the adaptation of the Treaties;</w:t>
      </w:r>
    </w:p>
    <w:p w:rsidR="00F975E8" w:rsidRDefault="00FF0D0A">
      <w:pPr>
        <w:pStyle w:val="Textoindependiente"/>
        <w:spacing w:after="1260"/>
        <w:jc w:val="both"/>
      </w:pPr>
      <w:r>
        <w:rPr>
          <w:rStyle w:val="TextoindependienteCar"/>
        </w:rPr>
        <w:t>Whereas certain provisions of these rules have also been amended; whereas these rules feature in the Appendices to the Agreement; whereas the Appendices should therefore be</w:t>
      </w:r>
      <w:r>
        <w:rPr>
          <w:rStyle w:val="TextoindependienteCar"/>
        </w:rPr>
        <w:t xml:space="preserve"> adapted accordingly,</w:t>
      </w:r>
    </w:p>
    <w:p w:rsidR="00F975E8" w:rsidRDefault="00FF0D0A">
      <w:pPr>
        <w:pStyle w:val="Textoindependiente"/>
        <w:spacing w:after="420"/>
        <w:jc w:val="both"/>
        <w:rPr>
          <w:sz w:val="22"/>
          <w:szCs w:val="22"/>
        </w:rPr>
      </w:pPr>
      <w:r>
        <w:rPr>
          <w:rStyle w:val="TextoindependienteCar"/>
          <w:sz w:val="22"/>
          <w:szCs w:val="22"/>
        </w:rPr>
        <w:t>HAS DECIDED AS FOLLOWS:</w:t>
      </w:r>
    </w:p>
    <w:p w:rsidR="00F975E8" w:rsidRDefault="00F975E8">
      <w:pPr>
        <w:pStyle w:val="Textoindependiente"/>
        <w:numPr>
          <w:ilvl w:val="0"/>
          <w:numId w:val="1"/>
        </w:numPr>
        <w:spacing w:after="420"/>
        <w:jc w:val="center"/>
      </w:pPr>
    </w:p>
    <w:p w:rsidR="00F975E8" w:rsidRDefault="00FF0D0A">
      <w:pPr>
        <w:pStyle w:val="Textoindependiente"/>
        <w:spacing w:after="980"/>
        <w:jc w:val="both"/>
      </w:pPr>
      <w:r>
        <w:rPr>
          <w:rStyle w:val="TextoindependienteCar"/>
        </w:rPr>
        <w:t xml:space="preserve">The Spanish and Portuguese texts of the Agreement between the European Economic Community and the Republic of Austria on the application of the rules on Community transit, appearing in an Annex to the present </w:t>
      </w:r>
      <w:r>
        <w:rPr>
          <w:rStyle w:val="TextoindependienteCar"/>
        </w:rPr>
        <w:t>Decision, are as authentic as those in Danish, Dutch, English, French, German, Greek and Italian.</w:t>
      </w:r>
    </w:p>
    <w:p w:rsidR="00F975E8" w:rsidRDefault="00F975E8">
      <w:pPr>
        <w:pStyle w:val="Textoindependiente"/>
        <w:numPr>
          <w:ilvl w:val="0"/>
          <w:numId w:val="1"/>
        </w:numPr>
        <w:spacing w:after="420" w:line="252" w:lineRule="auto"/>
        <w:jc w:val="center"/>
      </w:pPr>
    </w:p>
    <w:p w:rsidR="00F975E8" w:rsidRDefault="00FF0D0A">
      <w:pPr>
        <w:pStyle w:val="Textoindependiente"/>
        <w:spacing w:after="420" w:line="252" w:lineRule="auto"/>
        <w:jc w:val="both"/>
      </w:pPr>
      <w:r>
        <w:rPr>
          <w:rStyle w:val="TextoindependienteCar"/>
        </w:rPr>
        <w:t>The Agreement between the European Economic Community and the Republic of Austria on the application of the rules on Community transit is hereby amended as f</w:t>
      </w:r>
      <w:r>
        <w:rPr>
          <w:rStyle w:val="TextoindependienteCar"/>
        </w:rPr>
        <w:t>ollows:</w:t>
      </w:r>
    </w:p>
    <w:p w:rsidR="00F975E8" w:rsidRDefault="00FF0D0A">
      <w:pPr>
        <w:pStyle w:val="Textoindependiente"/>
        <w:spacing w:after="220"/>
        <w:jc w:val="both"/>
      </w:pPr>
      <w:r>
        <w:rPr>
          <w:rStyle w:val="TextoindependienteCar"/>
        </w:rPr>
        <w:t>Article 13 (1) shall be replaced by the following:</w:t>
      </w:r>
    </w:p>
    <w:p w:rsidR="00F975E8" w:rsidRDefault="00FF0D0A">
      <w:pPr>
        <w:pStyle w:val="Textoindependiente"/>
        <w:spacing w:after="220"/>
        <w:ind w:left="320" w:firstLine="20"/>
        <w:jc w:val="both"/>
      </w:pPr>
      <w:r>
        <w:rPr>
          <w:rStyle w:val="TextoindependienteCar"/>
        </w:rPr>
        <w:t>‘1. The provisions set out in square brackets in Appendices I and II listed below shall not apply:</w:t>
      </w:r>
    </w:p>
    <w:p w:rsidR="00F975E8" w:rsidRDefault="00F975E8">
      <w:pPr>
        <w:pStyle w:val="Textoindependiente"/>
        <w:numPr>
          <w:ilvl w:val="0"/>
          <w:numId w:val="2"/>
        </w:numPr>
        <w:spacing w:after="220"/>
        <w:ind w:left="320" w:firstLine="20"/>
        <w:jc w:val="both"/>
      </w:pPr>
    </w:p>
    <w:p w:rsidR="00F975E8" w:rsidRDefault="00FF0D0A">
      <w:pPr>
        <w:pStyle w:val="Textoindependiente"/>
        <w:spacing w:after="220" w:line="254" w:lineRule="auto"/>
        <w:ind w:left="320" w:firstLine="20"/>
        <w:jc w:val="both"/>
      </w:pPr>
      <w:r>
        <w:rPr>
          <w:rStyle w:val="TextoindependienteCar"/>
        </w:rPr>
        <w:t xml:space="preserve">Article 1 (4) and (5); Article 2 (2), second subparagraph; Articles 3, 4 and 10; Article 12 (1), </w:t>
      </w:r>
      <w:r>
        <w:rPr>
          <w:rStyle w:val="TextoindependienteCar"/>
        </w:rPr>
        <w:t>last sentence; Article 22 ( 1 ), last sentence; Article 26 (2); Article 29; Article 30 (3); Article 32 (1), second subparagraph and (3); Article 39 (1), last sentence; Article 41; Article 44 (1) and (2); Article 47; Article 48 (2); Articles 50 to 53 and 55</w:t>
      </w:r>
      <w:r>
        <w:rPr>
          <w:rStyle w:val="TextoindependienteCar"/>
        </w:rPr>
        <w:t xml:space="preserve"> to 61;</w:t>
      </w:r>
    </w:p>
    <w:p w:rsidR="00F975E8" w:rsidRDefault="00F975E8">
      <w:pPr>
        <w:pStyle w:val="Textoindependiente"/>
        <w:numPr>
          <w:ilvl w:val="0"/>
          <w:numId w:val="2"/>
        </w:numPr>
        <w:spacing w:after="220"/>
        <w:ind w:firstLine="320"/>
        <w:jc w:val="both"/>
      </w:pPr>
    </w:p>
    <w:p w:rsidR="00F975E8" w:rsidRDefault="00FF0D0A">
      <w:pPr>
        <w:pStyle w:val="Textoindependiente"/>
        <w:spacing w:after="220"/>
        <w:ind w:left="320" w:firstLine="20"/>
        <w:jc w:val="both"/>
      </w:pPr>
      <w:r>
        <w:rPr>
          <w:rStyle w:val="TextoindependienteCar"/>
        </w:rPr>
        <w:t>Article 1 (3), (6), first sentence, and (9); Article 2 (5) (d) and (11); Article 4; Article 7 (3); Articles 10 to 14; Article 15 (2); Article 22; Article 24 (5), second subparagraph, last sentence; Articles 27 to 34; Article 35 (a); Article 42 (2)</w:t>
      </w:r>
      <w:r>
        <w:rPr>
          <w:rStyle w:val="TextoindependienteCar"/>
        </w:rPr>
        <w:t xml:space="preserve"> and (4); Article 50 (a); Article 50 (</w:t>
      </w:r>
      <w:proofErr w:type="spellStart"/>
      <w:r>
        <w:rPr>
          <w:rStyle w:val="TextoindependienteCar"/>
        </w:rPr>
        <w:t>i</w:t>
      </w:r>
      <w:proofErr w:type="spellEnd"/>
      <w:r>
        <w:rPr>
          <w:rStyle w:val="TextoindependienteCar"/>
        </w:rPr>
        <w:t>) (2), (3), (3a), second subparagraph, second sentence and (5); Article 51; Article 54, second subparagraph; Article 61a to f; Article 68 (1); Article 68a to d; Article 74.</w:t>
      </w:r>
    </w:p>
    <w:p w:rsidR="00F975E8" w:rsidRDefault="00FF0D0A">
      <w:pPr>
        <w:pStyle w:val="Textoindependiente"/>
        <w:spacing w:after="840"/>
        <w:ind w:left="320" w:firstLine="20"/>
        <w:jc w:val="both"/>
      </w:pPr>
      <w:r>
        <w:rPr>
          <w:rStyle w:val="TextoindependienteCar"/>
        </w:rPr>
        <w:t xml:space="preserve">However, the provisions of Articles 4,41,44 </w:t>
      </w:r>
      <w:r>
        <w:rPr>
          <w:rStyle w:val="TextoindependienteCar"/>
        </w:rPr>
        <w:t>(1 ) and (2), 47, and 50 to 53 of Appendix I, and those of Article 24 (5), second subparagraph, last sentence, Articles 27 to 34, Article 35 (a), Article 42 (2) and (4), Article 50 (a), Article 50 (</w:t>
      </w:r>
      <w:proofErr w:type="spellStart"/>
      <w:r>
        <w:rPr>
          <w:rStyle w:val="TextoindependienteCar"/>
        </w:rPr>
        <w:t>i</w:t>
      </w:r>
      <w:proofErr w:type="spellEnd"/>
      <w:r>
        <w:rPr>
          <w:rStyle w:val="TextoindependienteCar"/>
        </w:rPr>
        <w:t>) (2), (3), (3a), second subparagraph, second sentence an</w:t>
      </w:r>
      <w:r>
        <w:rPr>
          <w:rStyle w:val="TextoindependienteCar"/>
        </w:rPr>
        <w:t>d (5), Article 51, Article 54, second subparagraph, Article 68 (1), Articles 68 a to d and Article 74 of Appendix II shall continue to apply in the Member States.’</w:t>
      </w:r>
    </w:p>
    <w:p w:rsidR="00F975E8" w:rsidRDefault="00F975E8">
      <w:pPr>
        <w:pStyle w:val="Textoindependiente"/>
        <w:numPr>
          <w:ilvl w:val="0"/>
          <w:numId w:val="3"/>
        </w:numPr>
        <w:spacing w:after="360" w:line="254" w:lineRule="auto"/>
        <w:jc w:val="center"/>
      </w:pPr>
    </w:p>
    <w:p w:rsidR="00F975E8" w:rsidRDefault="00FF0D0A">
      <w:pPr>
        <w:pStyle w:val="Textoindependiente"/>
        <w:spacing w:after="220" w:line="254" w:lineRule="auto"/>
        <w:jc w:val="both"/>
      </w:pPr>
      <w:r>
        <w:rPr>
          <w:rStyle w:val="TextoindependienteCar"/>
        </w:rPr>
        <w:t>Appendix I of the Agreement is hereby amended as follows:</w:t>
      </w:r>
    </w:p>
    <w:p w:rsidR="00F975E8" w:rsidRDefault="00FF0D0A">
      <w:pPr>
        <w:pStyle w:val="Textoindependiente"/>
        <w:numPr>
          <w:ilvl w:val="0"/>
          <w:numId w:val="4"/>
        </w:numPr>
        <w:tabs>
          <w:tab w:val="left" w:pos="475"/>
        </w:tabs>
        <w:spacing w:after="220" w:line="254" w:lineRule="auto"/>
        <w:jc w:val="both"/>
      </w:pPr>
      <w:r>
        <w:rPr>
          <w:rStyle w:val="TextoindependienteCar"/>
        </w:rPr>
        <w:t>The following shall be added to f</w:t>
      </w:r>
      <w:r>
        <w:rPr>
          <w:rStyle w:val="TextoindependienteCar"/>
        </w:rPr>
        <w:t>ootnote (1), page 1:</w:t>
      </w:r>
    </w:p>
    <w:p w:rsidR="00F975E8" w:rsidRDefault="00FF0D0A">
      <w:pPr>
        <w:pStyle w:val="Textoindependiente"/>
        <w:spacing w:after="100" w:line="254" w:lineRule="auto"/>
        <w:ind w:left="920" w:hanging="400"/>
        <w:jc w:val="both"/>
      </w:pPr>
      <w:r>
        <w:rPr>
          <w:rStyle w:val="TextoindependienteCar"/>
        </w:rPr>
        <w:t>‘— Regulation (EEC) No 3813/81 of 15 December 1981,</w:t>
      </w:r>
    </w:p>
    <w:p w:rsidR="00F975E8" w:rsidRDefault="00FF0D0A">
      <w:pPr>
        <w:pStyle w:val="Textoindependiente"/>
        <w:spacing w:after="100"/>
        <w:ind w:left="920" w:hanging="400"/>
        <w:jc w:val="both"/>
      </w:pPr>
      <w:r>
        <w:rPr>
          <w:rStyle w:val="TextoindependienteCar"/>
        </w:rPr>
        <w:t>— Regulation (EEC) No 3617/82 of 17 December 1982,</w:t>
      </w:r>
    </w:p>
    <w:p w:rsidR="00F975E8" w:rsidRDefault="00FF0D0A">
      <w:pPr>
        <w:pStyle w:val="Textoindependiente"/>
        <w:spacing w:after="100" w:line="254" w:lineRule="auto"/>
        <w:ind w:firstLine="480"/>
        <w:jc w:val="both"/>
      </w:pPr>
      <w:r>
        <w:rPr>
          <w:rStyle w:val="TextoindependienteCar"/>
        </w:rPr>
        <w:t>— The Act of Accession of the Kingdom of Spain,</w:t>
      </w:r>
    </w:p>
    <w:p w:rsidR="00F975E8" w:rsidRDefault="00FF0D0A">
      <w:pPr>
        <w:pStyle w:val="Textoindependiente"/>
        <w:spacing w:after="220" w:line="254" w:lineRule="auto"/>
        <w:ind w:left="920" w:hanging="400"/>
        <w:jc w:val="both"/>
        <w:rPr>
          <w:rStyle w:val="TextoindependienteCar"/>
        </w:rPr>
      </w:pPr>
      <w:r>
        <w:rPr>
          <w:rStyle w:val="TextoindependienteCar"/>
        </w:rPr>
        <w:t xml:space="preserve">— </w:t>
      </w:r>
      <w:proofErr w:type="gramStart"/>
      <w:r>
        <w:rPr>
          <w:rStyle w:val="TextoindependienteCar"/>
        </w:rPr>
        <w:t>The</w:t>
      </w:r>
      <w:proofErr w:type="gramEnd"/>
      <w:r>
        <w:rPr>
          <w:rStyle w:val="TextoindependienteCar"/>
        </w:rPr>
        <w:t xml:space="preserve"> Act of Accession of the Portuguese Republic.’</w:t>
      </w:r>
    </w:p>
    <w:p w:rsidR="00CF6684" w:rsidRDefault="00CF6684">
      <w:pPr>
        <w:pStyle w:val="Textoindependiente"/>
        <w:spacing w:after="220" w:line="254" w:lineRule="auto"/>
        <w:ind w:left="920" w:hanging="400"/>
        <w:jc w:val="both"/>
        <w:rPr>
          <w:rStyle w:val="TextoindependienteCar"/>
        </w:rPr>
      </w:pPr>
    </w:p>
    <w:p w:rsidR="00CF6684" w:rsidRDefault="00CF6684">
      <w:pPr>
        <w:pStyle w:val="Textoindependiente"/>
        <w:spacing w:after="220" w:line="254" w:lineRule="auto"/>
        <w:ind w:left="920" w:hanging="400"/>
        <w:jc w:val="both"/>
        <w:rPr>
          <w:rStyle w:val="TextoindependienteCar"/>
        </w:rPr>
      </w:pPr>
    </w:p>
    <w:p w:rsidR="00CF6684" w:rsidRDefault="00CF6684">
      <w:pPr>
        <w:pStyle w:val="Textoindependiente"/>
        <w:spacing w:after="220" w:line="254" w:lineRule="auto"/>
        <w:ind w:left="920" w:hanging="400"/>
        <w:jc w:val="both"/>
        <w:rPr>
          <w:rStyle w:val="TextoindependienteCar"/>
        </w:rPr>
      </w:pPr>
    </w:p>
    <w:p w:rsidR="00CF6684" w:rsidRDefault="00CF6684">
      <w:pPr>
        <w:pStyle w:val="Textoindependiente"/>
        <w:spacing w:after="220" w:line="254" w:lineRule="auto"/>
        <w:ind w:left="920" w:hanging="400"/>
        <w:jc w:val="both"/>
        <w:rPr>
          <w:rStyle w:val="TextoindependienteCar"/>
        </w:rPr>
      </w:pPr>
    </w:p>
    <w:p w:rsidR="00CF6684" w:rsidRDefault="00CF6684">
      <w:pPr>
        <w:pStyle w:val="Textoindependiente"/>
        <w:spacing w:after="220" w:line="254" w:lineRule="auto"/>
        <w:ind w:left="920" w:hanging="400"/>
        <w:jc w:val="both"/>
        <w:rPr>
          <w:rStyle w:val="TextoindependienteCar"/>
        </w:rPr>
      </w:pPr>
    </w:p>
    <w:p w:rsidR="00CF6684" w:rsidRDefault="00CF6684">
      <w:pPr>
        <w:pStyle w:val="Textoindependiente"/>
        <w:spacing w:after="220" w:line="254" w:lineRule="auto"/>
        <w:ind w:left="920" w:hanging="400"/>
        <w:jc w:val="both"/>
        <w:rPr>
          <w:rStyle w:val="TextoindependienteCar"/>
        </w:rPr>
      </w:pPr>
    </w:p>
    <w:p w:rsidR="00CF6684" w:rsidRDefault="00CF6684">
      <w:pPr>
        <w:pStyle w:val="Textoindependiente"/>
        <w:spacing w:after="220" w:line="254" w:lineRule="auto"/>
        <w:ind w:left="920" w:hanging="400"/>
        <w:jc w:val="both"/>
      </w:pPr>
    </w:p>
    <w:p w:rsidR="00CF6684" w:rsidRDefault="00FF0D0A" w:rsidP="00CF6684">
      <w:pPr>
        <w:pStyle w:val="Textoindependiente"/>
        <w:numPr>
          <w:ilvl w:val="0"/>
          <w:numId w:val="4"/>
        </w:numPr>
        <w:tabs>
          <w:tab w:val="left" w:pos="452"/>
        </w:tabs>
        <w:spacing w:after="1020"/>
        <w:ind w:left="500" w:hanging="500"/>
        <w:jc w:val="both"/>
      </w:pPr>
      <w:r>
        <w:rPr>
          <w:rStyle w:val="TextoindependienteCar"/>
        </w:rPr>
        <w:lastRenderedPageBreak/>
        <w:t xml:space="preserve">In Article 57 (2), the word </w:t>
      </w:r>
      <w:r>
        <w:rPr>
          <w:rStyle w:val="TextoindependienteCar"/>
        </w:rPr>
        <w:t>‘forty-five’ shall be replaced by ‘fifty-four’.</w:t>
      </w:r>
    </w:p>
    <w:p w:rsidR="00F975E8" w:rsidRDefault="00F975E8">
      <w:pPr>
        <w:pStyle w:val="Textoindependiente"/>
        <w:numPr>
          <w:ilvl w:val="0"/>
          <w:numId w:val="3"/>
        </w:numPr>
        <w:spacing w:after="420"/>
        <w:jc w:val="center"/>
      </w:pPr>
    </w:p>
    <w:p w:rsidR="00F975E8" w:rsidRDefault="00FF0D0A">
      <w:pPr>
        <w:pStyle w:val="Textoindependiente"/>
        <w:spacing w:after="420" w:line="254" w:lineRule="auto"/>
        <w:jc w:val="both"/>
      </w:pPr>
      <w:r>
        <w:rPr>
          <w:rStyle w:val="TextoindependienteCar"/>
        </w:rPr>
        <w:t>Appendix II of the Agreement shall be amended as follows:</w:t>
      </w:r>
    </w:p>
    <w:p w:rsidR="00F975E8" w:rsidRDefault="00FF0D0A">
      <w:pPr>
        <w:pStyle w:val="Textoindependiente"/>
        <w:numPr>
          <w:ilvl w:val="0"/>
          <w:numId w:val="5"/>
        </w:numPr>
        <w:tabs>
          <w:tab w:val="left" w:pos="437"/>
        </w:tabs>
        <w:spacing w:after="280"/>
        <w:jc w:val="both"/>
      </w:pPr>
      <w:r>
        <w:rPr>
          <w:rStyle w:val="TextoindependienteCar"/>
        </w:rPr>
        <w:t>The following shall be added to footnote (1), page 1:</w:t>
      </w:r>
    </w:p>
    <w:p w:rsidR="00F975E8" w:rsidRDefault="00FF0D0A">
      <w:pPr>
        <w:pStyle w:val="Textoindependiente"/>
        <w:spacing w:after="140"/>
        <w:ind w:left="840" w:hanging="420"/>
        <w:jc w:val="both"/>
      </w:pPr>
      <w:r>
        <w:rPr>
          <w:rStyle w:val="TextoindependienteCar"/>
        </w:rPr>
        <w:t>‘— Regulation (EEC) No 3298/80 of 18 December 1980,</w:t>
      </w:r>
    </w:p>
    <w:p w:rsidR="00F975E8" w:rsidRDefault="00FF0D0A">
      <w:pPr>
        <w:pStyle w:val="Textoindependiente"/>
        <w:spacing w:after="140"/>
        <w:ind w:firstLine="380"/>
        <w:jc w:val="both"/>
      </w:pPr>
      <w:r>
        <w:rPr>
          <w:rStyle w:val="TextoindependienteCar"/>
        </w:rPr>
        <w:t>— Regulation (EEC) No 1664/81 of 23 June 19</w:t>
      </w:r>
      <w:r>
        <w:rPr>
          <w:rStyle w:val="TextoindependienteCar"/>
        </w:rPr>
        <w:t>81,</w:t>
      </w:r>
    </w:p>
    <w:p w:rsidR="00F975E8" w:rsidRDefault="00FF0D0A">
      <w:pPr>
        <w:pStyle w:val="Textoindependiente"/>
        <w:spacing w:after="140"/>
        <w:ind w:firstLine="380"/>
        <w:jc w:val="both"/>
      </w:pPr>
      <w:r>
        <w:rPr>
          <w:rStyle w:val="TextoindependienteCar"/>
        </w:rPr>
        <w:t>— Regulation (EEC) No 2105/81 of 16 July 1981,</w:t>
      </w:r>
    </w:p>
    <w:p w:rsidR="00F975E8" w:rsidRDefault="00FF0D0A">
      <w:pPr>
        <w:pStyle w:val="Textoindependiente"/>
        <w:spacing w:after="140"/>
        <w:ind w:left="840" w:hanging="420"/>
        <w:jc w:val="both"/>
      </w:pPr>
      <w:r>
        <w:rPr>
          <w:rStyle w:val="TextoindependienteCar"/>
        </w:rPr>
        <w:t>— Regulation (EEC) No 3220/81 of 11 November 1981,</w:t>
      </w:r>
    </w:p>
    <w:p w:rsidR="00F975E8" w:rsidRDefault="00FF0D0A">
      <w:pPr>
        <w:pStyle w:val="Textoindependiente"/>
        <w:spacing w:after="140"/>
        <w:ind w:firstLine="380"/>
        <w:jc w:val="both"/>
      </w:pPr>
      <w:r>
        <w:rPr>
          <w:rStyle w:val="TextoindependienteCar"/>
        </w:rPr>
        <w:t>— Regulation (EEC) No 1499/82 of 11 June 1982,</w:t>
      </w:r>
    </w:p>
    <w:p w:rsidR="00F975E8" w:rsidRDefault="00FF0D0A">
      <w:pPr>
        <w:pStyle w:val="Textoindependiente"/>
        <w:spacing w:after="140"/>
        <w:ind w:firstLine="380"/>
        <w:jc w:val="both"/>
      </w:pPr>
      <w:r>
        <w:rPr>
          <w:rStyle w:val="TextoindependienteCar"/>
        </w:rPr>
        <w:t>— Regulation (EEC) No 1482/83 of 8 June 1983,</w:t>
      </w:r>
    </w:p>
    <w:p w:rsidR="00F975E8" w:rsidRDefault="00FF0D0A">
      <w:pPr>
        <w:pStyle w:val="Textoindependiente"/>
        <w:spacing w:after="140"/>
        <w:ind w:firstLine="380"/>
        <w:jc w:val="both"/>
      </w:pPr>
      <w:r>
        <w:rPr>
          <w:rStyle w:val="TextoindependienteCar"/>
        </w:rPr>
        <w:t>— Regulation (EEC) No 1209/85 of 3 May 1985,</w:t>
      </w:r>
    </w:p>
    <w:p w:rsidR="00F975E8" w:rsidRDefault="00FF0D0A">
      <w:pPr>
        <w:pStyle w:val="Textoindependiente"/>
        <w:spacing w:after="140"/>
        <w:ind w:firstLine="380"/>
        <w:jc w:val="both"/>
      </w:pPr>
      <w:r>
        <w:rPr>
          <w:rStyle w:val="TextoindependienteCar"/>
        </w:rPr>
        <w:t>— The Act of Acc</w:t>
      </w:r>
      <w:r>
        <w:rPr>
          <w:rStyle w:val="TextoindependienteCar"/>
        </w:rPr>
        <w:t>ession of the Kingdom of Spain,</w:t>
      </w:r>
    </w:p>
    <w:p w:rsidR="00F975E8" w:rsidRDefault="00FF0D0A">
      <w:pPr>
        <w:pStyle w:val="Textoindependiente"/>
        <w:spacing w:after="420"/>
        <w:ind w:firstLine="380"/>
        <w:jc w:val="both"/>
      </w:pPr>
      <w:r>
        <w:rPr>
          <w:rStyle w:val="TextoindependienteCar"/>
        </w:rPr>
        <w:t xml:space="preserve">— </w:t>
      </w:r>
      <w:proofErr w:type="gramStart"/>
      <w:r>
        <w:rPr>
          <w:rStyle w:val="TextoindependienteCar"/>
        </w:rPr>
        <w:t>The</w:t>
      </w:r>
      <w:proofErr w:type="gramEnd"/>
      <w:r>
        <w:rPr>
          <w:rStyle w:val="TextoindependienteCar"/>
        </w:rPr>
        <w:t xml:space="preserve"> Act of Accession of the Portuguese Republic.’</w:t>
      </w:r>
    </w:p>
    <w:p w:rsidR="00F975E8" w:rsidRDefault="00FF0D0A">
      <w:pPr>
        <w:pStyle w:val="Textoindependiente"/>
        <w:numPr>
          <w:ilvl w:val="0"/>
          <w:numId w:val="5"/>
        </w:numPr>
        <w:tabs>
          <w:tab w:val="left" w:pos="452"/>
        </w:tabs>
        <w:spacing w:after="280"/>
        <w:jc w:val="both"/>
      </w:pPr>
      <w:r>
        <w:rPr>
          <w:rStyle w:val="TextoindependienteCar"/>
        </w:rPr>
        <w:t>Article 1 (3) shall be replaced by the following:</w:t>
      </w:r>
    </w:p>
    <w:p w:rsidR="00F975E8" w:rsidRDefault="00FF0D0A">
      <w:pPr>
        <w:pStyle w:val="Textoindependiente"/>
        <w:spacing w:after="420"/>
        <w:ind w:left="380" w:firstLine="40"/>
        <w:jc w:val="both"/>
      </w:pPr>
      <w:r>
        <w:rPr>
          <w:rStyle w:val="TextoindependienteCar"/>
        </w:rPr>
        <w:t>[‘3. The forms to be completed as the special Community transit document, hereinafter referred to as “Control Copy T No 5”</w:t>
      </w:r>
      <w:r>
        <w:rPr>
          <w:rStyle w:val="TextoindependienteCar"/>
        </w:rPr>
        <w:t>, as proof that the goods have been used for a specific purpose and/or have arrived at a prescribed destination shall conform, except as regards the dimensions of the boxes wholly or partly delineated by dotted lines, to the specimens in Annexes VI, VI A a</w:t>
      </w:r>
      <w:r>
        <w:rPr>
          <w:rStyle w:val="TextoindependienteCar"/>
        </w:rPr>
        <w:t>nd VI B. The Control Copy T No 5 shall be issued and used in accordance with the provisions of Articles 10 to 13a.’]</w:t>
      </w:r>
    </w:p>
    <w:p w:rsidR="00F975E8" w:rsidRDefault="00FF0D0A">
      <w:pPr>
        <w:pStyle w:val="Textoindependiente"/>
        <w:numPr>
          <w:ilvl w:val="0"/>
          <w:numId w:val="5"/>
        </w:numPr>
        <w:tabs>
          <w:tab w:val="left" w:pos="428"/>
        </w:tabs>
        <w:spacing w:after="280"/>
        <w:jc w:val="both"/>
      </w:pPr>
      <w:r>
        <w:rPr>
          <w:rStyle w:val="TextoindependienteCar"/>
        </w:rPr>
        <w:t>Article 2 (4) shall be replaced by the following:</w:t>
      </w:r>
    </w:p>
    <w:p w:rsidR="00F975E8" w:rsidRDefault="00FF0D0A">
      <w:pPr>
        <w:pStyle w:val="Textoindependiente"/>
        <w:spacing w:after="420" w:line="252" w:lineRule="auto"/>
        <w:ind w:left="380" w:firstLine="40"/>
        <w:jc w:val="both"/>
      </w:pPr>
      <w:r>
        <w:rPr>
          <w:rStyle w:val="TextoindependienteCar"/>
        </w:rPr>
        <w:t>‘4. The paper referred to in paragraphs 1, 2 and 3 shall be white, except for the loading</w:t>
      </w:r>
      <w:r>
        <w:rPr>
          <w:rStyle w:val="TextoindependienteCar"/>
        </w:rPr>
        <w:t xml:space="preserve"> lists referred to in Article 1(2), for which the </w:t>
      </w:r>
      <w:proofErr w:type="spellStart"/>
      <w:r>
        <w:rPr>
          <w:rStyle w:val="TextoindependienteCar"/>
        </w:rPr>
        <w:t>colour</w:t>
      </w:r>
      <w:proofErr w:type="spellEnd"/>
      <w:r>
        <w:rPr>
          <w:rStyle w:val="TextoindependienteCar"/>
        </w:rPr>
        <w:t xml:space="preserve"> of the paper may be left to the choice of the user.’</w:t>
      </w:r>
    </w:p>
    <w:p w:rsidR="00F975E8" w:rsidRDefault="00FF0D0A">
      <w:pPr>
        <w:pStyle w:val="Textoindependiente"/>
        <w:numPr>
          <w:ilvl w:val="0"/>
          <w:numId w:val="5"/>
        </w:numPr>
        <w:tabs>
          <w:tab w:val="left" w:pos="457"/>
        </w:tabs>
        <w:spacing w:after="220" w:line="276" w:lineRule="auto"/>
        <w:ind w:left="380" w:hanging="380"/>
        <w:jc w:val="both"/>
      </w:pPr>
      <w:r>
        <w:rPr>
          <w:rStyle w:val="TextoindependienteCar"/>
        </w:rPr>
        <w:t>The following subparagraph shall be added to Article 2 (5):</w:t>
      </w:r>
    </w:p>
    <w:p w:rsidR="00F975E8" w:rsidRDefault="00FF0D0A">
      <w:pPr>
        <w:pStyle w:val="Textoindependiente"/>
        <w:spacing w:after="420"/>
        <w:ind w:left="1020" w:hanging="600"/>
        <w:jc w:val="both"/>
      </w:pPr>
      <w:r>
        <w:rPr>
          <w:rStyle w:val="TextoindependienteCar"/>
        </w:rPr>
        <w:t>[‘(d) 297x420 mm for the loading lists T5, the specimen for which is shown in Annex VI</w:t>
      </w:r>
      <w:r>
        <w:rPr>
          <w:rStyle w:val="TextoindependienteCar"/>
        </w:rPr>
        <w:t xml:space="preserve"> B, a tolerance in the length of - 5 or +8 mm being allowed.’]</w:t>
      </w:r>
    </w:p>
    <w:p w:rsidR="00F975E8" w:rsidRDefault="00FF0D0A">
      <w:pPr>
        <w:pStyle w:val="Textoindependiente"/>
        <w:numPr>
          <w:ilvl w:val="0"/>
          <w:numId w:val="5"/>
        </w:numPr>
        <w:tabs>
          <w:tab w:val="left" w:pos="423"/>
        </w:tabs>
        <w:spacing w:after="280"/>
        <w:jc w:val="both"/>
      </w:pPr>
      <w:r>
        <w:rPr>
          <w:rStyle w:val="TextoindependienteCar"/>
        </w:rPr>
        <w:t>Article 2 (11) shall be replaced by the following:</w:t>
      </w:r>
    </w:p>
    <w:p w:rsidR="00F975E8" w:rsidRDefault="00FF0D0A">
      <w:pPr>
        <w:pStyle w:val="Textoindependiente"/>
        <w:spacing w:after="280"/>
        <w:ind w:left="380" w:firstLine="40"/>
        <w:jc w:val="both"/>
      </w:pPr>
      <w:r>
        <w:rPr>
          <w:rStyle w:val="TextoindependienteCar"/>
        </w:rPr>
        <w:t>[‘11. The provisions of paragraphs 2, 4, 5 (a), 6 first and second paragraphs, 9 and 10 second and third subparagraphs, shall apply also to Co</w:t>
      </w:r>
      <w:r>
        <w:rPr>
          <w:rStyle w:val="TextoindependienteCar"/>
        </w:rPr>
        <w:t>ntrol Copy T No 5.</w:t>
      </w:r>
    </w:p>
    <w:p w:rsidR="00F975E8" w:rsidRDefault="00FF0D0A">
      <w:pPr>
        <w:pStyle w:val="Textoindependiente"/>
        <w:spacing w:after="480"/>
        <w:ind w:left="380" w:firstLine="20"/>
        <w:jc w:val="both"/>
        <w:rPr>
          <w:rStyle w:val="TextoindependienteCar"/>
        </w:rPr>
      </w:pPr>
      <w:r>
        <w:rPr>
          <w:rStyle w:val="TextoindependienteCar"/>
        </w:rPr>
        <w:t xml:space="preserve">However, the guilloche patterned background referred to in paragraph 2 shall be blue for the front and back of the original to Control Copy T No 5 and for the front of the original of continuation sheet </w:t>
      </w:r>
      <w:r>
        <w:rPr>
          <w:rStyle w:val="TextoindependienteCar"/>
          <w:i/>
          <w:iCs/>
        </w:rPr>
        <w:t>T5bis</w:t>
      </w:r>
      <w:r>
        <w:rPr>
          <w:rStyle w:val="TextoindependienteCar"/>
        </w:rPr>
        <w:t xml:space="preserve"> and of the loading list T5.’</w:t>
      </w:r>
      <w:r>
        <w:rPr>
          <w:rStyle w:val="TextoindependienteCar"/>
        </w:rPr>
        <w:t>]</w:t>
      </w:r>
    </w:p>
    <w:p w:rsidR="00CF6684" w:rsidRDefault="00CF6684">
      <w:pPr>
        <w:pStyle w:val="Textoindependiente"/>
        <w:spacing w:after="480"/>
        <w:ind w:left="380" w:firstLine="20"/>
        <w:jc w:val="both"/>
      </w:pPr>
      <w:bookmarkStart w:id="0" w:name="_GoBack"/>
      <w:bookmarkEnd w:id="0"/>
    </w:p>
    <w:p w:rsidR="00F975E8" w:rsidRDefault="00FF0D0A">
      <w:pPr>
        <w:pStyle w:val="Textoindependiente"/>
        <w:numPr>
          <w:ilvl w:val="0"/>
          <w:numId w:val="5"/>
        </w:numPr>
        <w:tabs>
          <w:tab w:val="left" w:pos="384"/>
        </w:tabs>
        <w:spacing w:after="320"/>
      </w:pPr>
      <w:r>
        <w:rPr>
          <w:rStyle w:val="TextoindependienteCar"/>
        </w:rPr>
        <w:t>Article 10 shall be replaced by the following:</w:t>
      </w:r>
    </w:p>
    <w:p w:rsidR="00F975E8" w:rsidRDefault="00FF0D0A">
      <w:pPr>
        <w:pStyle w:val="Textoindependiente"/>
        <w:spacing w:after="320"/>
        <w:ind w:firstLine="380"/>
      </w:pPr>
      <w:r>
        <w:rPr>
          <w:rStyle w:val="TextoindependienteCar"/>
          <w:i/>
          <w:iCs/>
        </w:rPr>
        <w:t>[‘Article 10</w:t>
      </w:r>
    </w:p>
    <w:p w:rsidR="00F975E8" w:rsidRDefault="00FF0D0A">
      <w:pPr>
        <w:pStyle w:val="Textoindependiente"/>
        <w:spacing w:after="320"/>
        <w:ind w:left="380" w:firstLine="20"/>
        <w:jc w:val="both"/>
      </w:pPr>
      <w:r>
        <w:rPr>
          <w:rStyle w:val="TextoindependienteCar"/>
        </w:rPr>
        <w:t>Proof that the conditions prescribed by a Community measure as to the use and/or destination of goods imported into, exported from, or moving within the Community have been complied with shall b</w:t>
      </w:r>
      <w:r>
        <w:rPr>
          <w:rStyle w:val="TextoindependienteCar"/>
        </w:rPr>
        <w:t>e furnished by production of Control Copy T No 5.</w:t>
      </w:r>
    </w:p>
    <w:p w:rsidR="00F975E8" w:rsidRDefault="00FF0D0A">
      <w:pPr>
        <w:pStyle w:val="Textoindependiente"/>
        <w:spacing w:after="480"/>
        <w:ind w:left="380" w:firstLine="20"/>
        <w:jc w:val="both"/>
      </w:pPr>
      <w:r>
        <w:rPr>
          <w:rStyle w:val="TextoindependienteCar"/>
        </w:rPr>
        <w:t xml:space="preserve">A Control Copy T No 5 is a completed Form T5, accompanied, if necessary, by one or more forms T5 </w:t>
      </w:r>
      <w:proofErr w:type="spellStart"/>
      <w:r>
        <w:rPr>
          <w:rStyle w:val="TextoindependienteCar"/>
          <w:i/>
          <w:iCs/>
        </w:rPr>
        <w:t>bis</w:t>
      </w:r>
      <w:proofErr w:type="spellEnd"/>
      <w:r>
        <w:rPr>
          <w:rStyle w:val="TextoindependienteCar"/>
          <w:i/>
          <w:iCs/>
        </w:rPr>
        <w:t xml:space="preserve">, </w:t>
      </w:r>
      <w:r>
        <w:rPr>
          <w:rStyle w:val="TextoindependienteCar"/>
        </w:rPr>
        <w:t>in the circumstances referred to in Article 10a, or by one or more loading lists T5, in the circumstance</w:t>
      </w:r>
      <w:r>
        <w:rPr>
          <w:rStyle w:val="TextoindependienteCar"/>
        </w:rPr>
        <w:t>s referred to in Articles 10b and 10c.’]</w:t>
      </w:r>
    </w:p>
    <w:p w:rsidR="00F975E8" w:rsidRDefault="00FF0D0A">
      <w:pPr>
        <w:pStyle w:val="Textoindependiente"/>
        <w:numPr>
          <w:ilvl w:val="0"/>
          <w:numId w:val="5"/>
        </w:numPr>
        <w:tabs>
          <w:tab w:val="left" w:pos="394"/>
        </w:tabs>
        <w:spacing w:after="320" w:line="254" w:lineRule="auto"/>
        <w:ind w:left="380" w:hanging="380"/>
        <w:jc w:val="both"/>
      </w:pPr>
      <w:r>
        <w:rPr>
          <w:rStyle w:val="TextoindependienteCar"/>
        </w:rPr>
        <w:t>The following Articles shall be inserted after Article 10:</w:t>
      </w:r>
    </w:p>
    <w:p w:rsidR="00F975E8" w:rsidRDefault="00FF0D0A">
      <w:pPr>
        <w:pStyle w:val="Textoindependiente"/>
        <w:spacing w:after="320"/>
        <w:ind w:firstLine="380"/>
      </w:pPr>
      <w:r>
        <w:rPr>
          <w:rStyle w:val="TextoindependienteCar"/>
          <w:i/>
          <w:iCs/>
        </w:rPr>
        <w:t>[‘Article 10a</w:t>
      </w:r>
    </w:p>
    <w:p w:rsidR="00F975E8" w:rsidRDefault="00FF0D0A">
      <w:pPr>
        <w:pStyle w:val="Textoindependiente"/>
        <w:numPr>
          <w:ilvl w:val="0"/>
          <w:numId w:val="6"/>
        </w:numPr>
        <w:tabs>
          <w:tab w:val="left" w:pos="998"/>
        </w:tabs>
        <w:spacing w:after="320"/>
        <w:ind w:left="380" w:firstLine="20"/>
        <w:jc w:val="both"/>
      </w:pPr>
      <w:r>
        <w:rPr>
          <w:rStyle w:val="TextoindependienteCar"/>
        </w:rPr>
        <w:t xml:space="preserve">The competent customs authorities of each Member State may allow undertakings established in their territory to supplement a Control Copy T No 5 with one or more continuation sheets T5 </w:t>
      </w:r>
      <w:proofErr w:type="spellStart"/>
      <w:r>
        <w:rPr>
          <w:rStyle w:val="TextoindependienteCar"/>
          <w:i/>
          <w:iCs/>
        </w:rPr>
        <w:t>bis</w:t>
      </w:r>
      <w:proofErr w:type="spellEnd"/>
      <w:r>
        <w:rPr>
          <w:rStyle w:val="TextoindependienteCar"/>
        </w:rPr>
        <w:t xml:space="preserve"> in cases where all the forms relate to a single consignment of good</w:t>
      </w:r>
      <w:r>
        <w:rPr>
          <w:rStyle w:val="TextoindependienteCar"/>
        </w:rPr>
        <w:t>s, which are loaded on one single means of transport, and are destined for a single consignee and a single use and/or destination.</w:t>
      </w:r>
    </w:p>
    <w:p w:rsidR="00F975E8" w:rsidRDefault="00FF0D0A">
      <w:pPr>
        <w:pStyle w:val="Textoindependiente"/>
        <w:numPr>
          <w:ilvl w:val="0"/>
          <w:numId w:val="6"/>
        </w:numPr>
        <w:tabs>
          <w:tab w:val="left" w:pos="998"/>
        </w:tabs>
        <w:spacing w:after="320"/>
        <w:ind w:left="380" w:firstLine="20"/>
        <w:jc w:val="both"/>
      </w:pPr>
      <w:r>
        <w:rPr>
          <w:rStyle w:val="TextoindependienteCar"/>
        </w:rPr>
        <w:t>Where continuation sheets T5</w:t>
      </w:r>
      <w:r>
        <w:rPr>
          <w:rStyle w:val="TextoindependienteCar"/>
          <w:i/>
          <w:iCs/>
        </w:rPr>
        <w:t>bis</w:t>
      </w:r>
      <w:r>
        <w:rPr>
          <w:rStyle w:val="TextoindependienteCar"/>
        </w:rPr>
        <w:t xml:space="preserve"> are used, the undertaking given by the person concerned in box 108 of the Control Copy T No 5</w:t>
      </w:r>
      <w:r>
        <w:rPr>
          <w:rStyle w:val="TextoindependienteCar"/>
        </w:rPr>
        <w:t xml:space="preserve"> is to be worded as follows: “The person concerned, represented by . . . , hereby undertakes to ensure the declared use and/or destination of the goods described above and in the continuation  sheet(s) </w:t>
      </w:r>
      <w:r>
        <w:rPr>
          <w:rStyle w:val="TextoindependienteCar"/>
          <w:i/>
          <w:iCs/>
        </w:rPr>
        <w:t xml:space="preserve">T5 </w:t>
      </w:r>
      <w:proofErr w:type="spellStart"/>
      <w:r>
        <w:rPr>
          <w:rStyle w:val="TextoindependienteCar"/>
          <w:i/>
          <w:iCs/>
        </w:rPr>
        <w:t>bis</w:t>
      </w:r>
      <w:proofErr w:type="spellEnd"/>
      <w:r>
        <w:rPr>
          <w:rStyle w:val="TextoindependienteCar"/>
        </w:rPr>
        <w:t xml:space="preserve"> attached”.</w:t>
      </w:r>
    </w:p>
    <w:p w:rsidR="00F975E8" w:rsidRDefault="00FF0D0A">
      <w:pPr>
        <w:pStyle w:val="Textoindependiente"/>
        <w:numPr>
          <w:ilvl w:val="0"/>
          <w:numId w:val="6"/>
        </w:numPr>
        <w:tabs>
          <w:tab w:val="left" w:pos="998"/>
        </w:tabs>
        <w:spacing w:after="480"/>
        <w:ind w:left="380" w:firstLine="20"/>
        <w:jc w:val="both"/>
      </w:pPr>
      <w:r>
        <w:rPr>
          <w:rStyle w:val="TextoindependienteCar"/>
        </w:rPr>
        <w:t>The number of continuation sheets T5</w:t>
      </w:r>
      <w:r>
        <w:rPr>
          <w:rStyle w:val="TextoindependienteCar"/>
        </w:rPr>
        <w:t xml:space="preserve"> </w:t>
      </w:r>
      <w:proofErr w:type="spellStart"/>
      <w:r>
        <w:rPr>
          <w:rStyle w:val="TextoindependienteCar"/>
          <w:i/>
          <w:iCs/>
        </w:rPr>
        <w:t>bis</w:t>
      </w:r>
      <w:proofErr w:type="spellEnd"/>
      <w:r>
        <w:rPr>
          <w:rStyle w:val="TextoindependienteCar"/>
        </w:rPr>
        <w:t xml:space="preserve"> used and their printed serial numbers shall be shown in box 107 of the Control Copy T No 5 which they accompany. The registration number of the Control Copy T No 5 shall be shown in the box for registration particulars of each continuation sheet T5</w:t>
      </w:r>
      <w:r>
        <w:rPr>
          <w:rStyle w:val="TextoindependienteCar"/>
          <w:i/>
          <w:iCs/>
        </w:rPr>
        <w:t>bis</w:t>
      </w:r>
      <w:r>
        <w:rPr>
          <w:rStyle w:val="TextoindependienteCar"/>
        </w:rPr>
        <w:t>.]</w:t>
      </w:r>
    </w:p>
    <w:p w:rsidR="00F975E8" w:rsidRDefault="00FF0D0A">
      <w:pPr>
        <w:pStyle w:val="Textoindependiente"/>
        <w:spacing w:after="320"/>
        <w:ind w:firstLine="380"/>
      </w:pPr>
      <w:r>
        <w:rPr>
          <w:rStyle w:val="TextoindependienteCar"/>
          <w:i/>
          <w:iCs/>
        </w:rPr>
        <w:t>[Article 10b</w:t>
      </w:r>
    </w:p>
    <w:p w:rsidR="00F975E8" w:rsidRDefault="00FF0D0A">
      <w:pPr>
        <w:pStyle w:val="Textoindependiente"/>
        <w:numPr>
          <w:ilvl w:val="0"/>
          <w:numId w:val="7"/>
        </w:numPr>
        <w:tabs>
          <w:tab w:val="left" w:pos="998"/>
        </w:tabs>
        <w:spacing w:after="320"/>
        <w:ind w:left="380" w:firstLine="20"/>
        <w:jc w:val="both"/>
      </w:pPr>
      <w:r>
        <w:rPr>
          <w:rStyle w:val="TextoindependienteCar"/>
        </w:rPr>
        <w:t>The competent customs authorities of each Member State may allow undertakings established in their territory to supplement a Control Copy T No 5 with one or more loading lists T5 giving the particulars normally shown in boxes 41</w:t>
      </w:r>
      <w:proofErr w:type="gramStart"/>
      <w:r>
        <w:rPr>
          <w:rStyle w:val="TextoindependienteCar"/>
        </w:rPr>
        <w:t>,43</w:t>
      </w:r>
      <w:proofErr w:type="gramEnd"/>
      <w:r>
        <w:rPr>
          <w:rStyle w:val="TextoindependienteCar"/>
        </w:rPr>
        <w:t xml:space="preserve">, 49 and </w:t>
      </w:r>
      <w:r>
        <w:rPr>
          <w:rStyle w:val="TextoindependienteCar"/>
        </w:rPr>
        <w:t>100 to 103 and 105 of form T5, provided that all the forms relate to a single consignment of goods, which are loaded on one single means of transport, and are destined for a single consignee and a single use and/or destination.</w:t>
      </w:r>
    </w:p>
    <w:sectPr w:rsidR="00F975E8">
      <w:type w:val="continuous"/>
      <w:pgSz w:w="15864" w:h="22459"/>
      <w:pgMar w:top="2406" w:right="1191" w:bottom="1434" w:left="1380" w:header="0" w:footer="3" w:gutter="0"/>
      <w:cols w:num="2" w:space="323"/>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D0A" w:rsidRDefault="00FF0D0A">
      <w:r>
        <w:separator/>
      </w:r>
    </w:p>
  </w:endnote>
  <w:endnote w:type="continuationSeparator" w:id="0">
    <w:p w:rsidR="00FF0D0A" w:rsidRDefault="00FF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D0A" w:rsidRDefault="00FF0D0A"/>
  </w:footnote>
  <w:footnote w:type="continuationSeparator" w:id="0">
    <w:p w:rsidR="00FF0D0A" w:rsidRDefault="00FF0D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E8" w:rsidRDefault="00FF0D0A">
    <w:pPr>
      <w:spacing w:line="1" w:lineRule="exact"/>
    </w:pPr>
    <w:r>
      <w:rPr>
        <w:noProof/>
        <w:lang w:val="es-ES" w:eastAsia="es-ES"/>
      </w:rPr>
      <mc:AlternateContent>
        <mc:Choice Requires="wps">
          <w:drawing>
            <wp:anchor distT="0" distB="0" distL="0" distR="0" simplePos="0" relativeHeight="251658240" behindDoc="1" locked="0" layoutInCell="1" allowOverlap="1">
              <wp:simplePos x="0" y="0"/>
              <wp:positionH relativeFrom="page">
                <wp:posOffset>641350</wp:posOffset>
              </wp:positionH>
              <wp:positionV relativeFrom="page">
                <wp:posOffset>1052830</wp:posOffset>
              </wp:positionV>
              <wp:extent cx="8205470" cy="161290"/>
              <wp:effectExtent l="0" t="0" r="0" b="0"/>
              <wp:wrapNone/>
              <wp:docPr id="1" name="Shape 1"/>
              <wp:cNvGraphicFramePr/>
              <a:graphic xmlns:a="http://schemas.openxmlformats.org/drawingml/2006/main">
                <a:graphicData uri="http://schemas.microsoft.com/office/word/2010/wordprocessingShape">
                  <wps:wsp>
                    <wps:cNvSpPr txBox="1"/>
                    <wps:spPr>
                      <a:xfrm>
                        <a:off x="0" y="0"/>
                        <a:ext cx="8205470" cy="161290"/>
                      </a:xfrm>
                      <a:prstGeom prst="rect">
                        <a:avLst/>
                      </a:prstGeom>
                      <a:noFill/>
                    </wps:spPr>
                    <wps:txbx>
                      <w:txbxContent>
                        <w:p w:rsidR="00F975E8" w:rsidRDefault="00FF0D0A">
                          <w:pPr>
                            <w:pStyle w:val="Headerorfooter20"/>
                            <w:tabs>
                              <w:tab w:val="right" w:pos="8856"/>
                              <w:tab w:val="right" w:pos="12922"/>
                            </w:tabs>
                            <w:rPr>
                              <w:sz w:val="24"/>
                              <w:szCs w:val="24"/>
                            </w:rPr>
                          </w:pPr>
                          <w:r w:rsidRPr="00334194">
                            <w:rPr>
                              <w:rStyle w:val="Headerorfooter2"/>
                              <w:sz w:val="24"/>
                              <w:szCs w:val="24"/>
                              <w:lang w:val="en-GB" w:eastAsia="es-ES"/>
                            </w:rPr>
                            <w:t>29. 5. 86</w:t>
                          </w:r>
                          <w:r w:rsidRPr="00334194">
                            <w:rPr>
                              <w:rStyle w:val="Headerorfooter2"/>
                              <w:sz w:val="24"/>
                              <w:szCs w:val="24"/>
                              <w:lang w:val="en-GB" w:eastAsia="es-ES"/>
                            </w:rPr>
                            <w:tab/>
                          </w:r>
                          <w:r>
                            <w:rPr>
                              <w:rStyle w:val="Headerorfooter2"/>
                              <w:sz w:val="24"/>
                              <w:szCs w:val="24"/>
                              <w:lang w:val="fr-FR" w:eastAsia="fr-FR"/>
                            </w:rPr>
                            <w:t xml:space="preserve">Official Journal of the </w:t>
                          </w:r>
                          <w:proofErr w:type="spellStart"/>
                          <w:r>
                            <w:rPr>
                              <w:rStyle w:val="Headerorfooter2"/>
                              <w:sz w:val="24"/>
                              <w:szCs w:val="24"/>
                              <w:lang w:val="fr-FR" w:eastAsia="fr-FR"/>
                            </w:rPr>
                            <w:t>European</w:t>
                          </w:r>
                          <w:proofErr w:type="spellEnd"/>
                          <w:r>
                            <w:rPr>
                              <w:rStyle w:val="Headerorfooter2"/>
                              <w:sz w:val="24"/>
                              <w:szCs w:val="24"/>
                              <w:lang w:val="fr-FR" w:eastAsia="fr-FR"/>
                            </w:rPr>
                            <w:t xml:space="preserve"> </w:t>
                          </w:r>
                          <w:proofErr w:type="spellStart"/>
                          <w:r>
                            <w:rPr>
                              <w:rStyle w:val="Headerorfooter2"/>
                              <w:sz w:val="24"/>
                              <w:szCs w:val="24"/>
                              <w:lang w:val="fr-FR" w:eastAsia="fr-FR"/>
                            </w:rPr>
                            <w:t>Communities</w:t>
                          </w:r>
                          <w:proofErr w:type="spellEnd"/>
                          <w:r>
                            <w:rPr>
                              <w:rStyle w:val="Headerorfooter2"/>
                              <w:sz w:val="24"/>
                              <w:szCs w:val="24"/>
                              <w:lang w:val="fr-FR" w:eastAsia="fr-FR"/>
                            </w:rPr>
                            <w:tab/>
                            <w:t>No L 143/</w:t>
                          </w:r>
                          <w:r>
                            <w:rPr>
                              <w:rStyle w:val="Headerorfooter2"/>
                              <w:sz w:val="24"/>
                              <w:szCs w:val="24"/>
                              <w:lang w:val="fr-FR" w:eastAsia="fr-FR"/>
                            </w:rPr>
                            <w:fldChar w:fldCharType="begin"/>
                          </w:r>
                          <w:r>
                            <w:rPr>
                              <w:rStyle w:val="Headerorfooter2"/>
                              <w:sz w:val="24"/>
                              <w:szCs w:val="24"/>
                              <w:lang w:val="fr-FR" w:eastAsia="fr-FR"/>
                            </w:rPr>
                            <w:instrText xml:space="preserve"> PAGE \* MERGEFORMAT </w:instrText>
                          </w:r>
                          <w:r>
                            <w:rPr>
                              <w:rStyle w:val="Headerorfooter2"/>
                              <w:sz w:val="24"/>
                              <w:szCs w:val="24"/>
                              <w:lang w:val="fr-FR" w:eastAsia="fr-FR"/>
                            </w:rPr>
                            <w:fldChar w:fldCharType="separate"/>
                          </w:r>
                          <w:r w:rsidR="00CF6684">
                            <w:rPr>
                              <w:rStyle w:val="Headerorfooter2"/>
                              <w:noProof/>
                              <w:sz w:val="24"/>
                              <w:szCs w:val="24"/>
                              <w:lang w:val="fr-FR" w:eastAsia="fr-FR"/>
                            </w:rPr>
                            <w:t>3</w:t>
                          </w:r>
                          <w:r>
                            <w:rPr>
                              <w:rStyle w:val="Headerorfooter2"/>
                              <w:sz w:val="24"/>
                              <w:szCs w:val="24"/>
                              <w:lang w:val="fr-FR" w:eastAsia="fr-FR"/>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0.5pt;margin-top:82.9pt;width:646.1pt;height:12.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" filled="f" stroked="f">
              <v:textbox style="mso-fit-shape-to-text:t" inset="0,0,0,0">
                <w:txbxContent>
                  <w:p w:rsidR="00F975E8" w:rsidRDefault="00FF0D0A">
                    <w:pPr>
                      <w:pStyle w:val="Headerorfooter20"/>
                      <w:tabs>
                        <w:tab w:val="right" w:pos="8856"/>
                        <w:tab w:val="right" w:pos="12922"/>
                      </w:tabs>
                      <w:rPr>
                        <w:sz w:val="24"/>
                        <w:szCs w:val="24"/>
                      </w:rPr>
                    </w:pPr>
                    <w:r w:rsidRPr="00334194">
                      <w:rPr>
                        <w:rStyle w:val="Headerorfooter2"/>
                        <w:sz w:val="24"/>
                        <w:szCs w:val="24"/>
                        <w:lang w:val="en-GB" w:eastAsia="es-ES"/>
                      </w:rPr>
                      <w:t>29. 5. 86</w:t>
                    </w:r>
                    <w:r w:rsidRPr="00334194">
                      <w:rPr>
                        <w:rStyle w:val="Headerorfooter2"/>
                        <w:sz w:val="24"/>
                        <w:szCs w:val="24"/>
                        <w:lang w:val="en-GB" w:eastAsia="es-ES"/>
                      </w:rPr>
                      <w:tab/>
                    </w:r>
                    <w:r>
                      <w:rPr>
                        <w:rStyle w:val="Headerorfooter2"/>
                        <w:sz w:val="24"/>
                        <w:szCs w:val="24"/>
                        <w:lang w:val="fr-FR" w:eastAsia="fr-FR"/>
                      </w:rPr>
                      <w:t xml:space="preserve">Official Journal of the </w:t>
                    </w:r>
                    <w:proofErr w:type="spellStart"/>
                    <w:r>
                      <w:rPr>
                        <w:rStyle w:val="Headerorfooter2"/>
                        <w:sz w:val="24"/>
                        <w:szCs w:val="24"/>
                        <w:lang w:val="fr-FR" w:eastAsia="fr-FR"/>
                      </w:rPr>
                      <w:t>European</w:t>
                    </w:r>
                    <w:proofErr w:type="spellEnd"/>
                    <w:r>
                      <w:rPr>
                        <w:rStyle w:val="Headerorfooter2"/>
                        <w:sz w:val="24"/>
                        <w:szCs w:val="24"/>
                        <w:lang w:val="fr-FR" w:eastAsia="fr-FR"/>
                      </w:rPr>
                      <w:t xml:space="preserve"> </w:t>
                    </w:r>
                    <w:proofErr w:type="spellStart"/>
                    <w:r>
                      <w:rPr>
                        <w:rStyle w:val="Headerorfooter2"/>
                        <w:sz w:val="24"/>
                        <w:szCs w:val="24"/>
                        <w:lang w:val="fr-FR" w:eastAsia="fr-FR"/>
                      </w:rPr>
                      <w:t>Communities</w:t>
                    </w:r>
                    <w:proofErr w:type="spellEnd"/>
                    <w:r>
                      <w:rPr>
                        <w:rStyle w:val="Headerorfooter2"/>
                        <w:sz w:val="24"/>
                        <w:szCs w:val="24"/>
                        <w:lang w:val="fr-FR" w:eastAsia="fr-FR"/>
                      </w:rPr>
                      <w:tab/>
                      <w:t>No L 143/</w:t>
                    </w:r>
                    <w:r>
                      <w:rPr>
                        <w:rStyle w:val="Headerorfooter2"/>
                        <w:sz w:val="24"/>
                        <w:szCs w:val="24"/>
                        <w:lang w:val="fr-FR" w:eastAsia="fr-FR"/>
                      </w:rPr>
                      <w:fldChar w:fldCharType="begin"/>
                    </w:r>
                    <w:r>
                      <w:rPr>
                        <w:rStyle w:val="Headerorfooter2"/>
                        <w:sz w:val="24"/>
                        <w:szCs w:val="24"/>
                        <w:lang w:val="fr-FR" w:eastAsia="fr-FR"/>
                      </w:rPr>
                      <w:instrText xml:space="preserve"> PAGE \* MERGEFORMAT </w:instrText>
                    </w:r>
                    <w:r>
                      <w:rPr>
                        <w:rStyle w:val="Headerorfooter2"/>
                        <w:sz w:val="24"/>
                        <w:szCs w:val="24"/>
                        <w:lang w:val="fr-FR" w:eastAsia="fr-FR"/>
                      </w:rPr>
                      <w:fldChar w:fldCharType="separate"/>
                    </w:r>
                    <w:r w:rsidR="00CF6684">
                      <w:rPr>
                        <w:rStyle w:val="Headerorfooter2"/>
                        <w:noProof/>
                        <w:sz w:val="24"/>
                        <w:szCs w:val="24"/>
                        <w:lang w:val="fr-FR" w:eastAsia="fr-FR"/>
                      </w:rPr>
                      <w:t>3</w:t>
                    </w:r>
                    <w:r>
                      <w:rPr>
                        <w:rStyle w:val="Headerorfooter2"/>
                        <w:sz w:val="24"/>
                        <w:szCs w:val="24"/>
                        <w:lang w:val="fr-FR" w:eastAsia="fr-FR"/>
                      </w:rPr>
                      <w:fldChar w:fldCharType="end"/>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56192" behindDoc="1" locked="0" layoutInCell="1" allowOverlap="1">
              <wp:simplePos x="0" y="0"/>
              <wp:positionH relativeFrom="page">
                <wp:posOffset>638810</wp:posOffset>
              </wp:positionH>
              <wp:positionV relativeFrom="page">
                <wp:posOffset>1292225</wp:posOffset>
              </wp:positionV>
              <wp:extent cx="8229600" cy="0"/>
              <wp:effectExtent l="0" t="0" r="0" b="0"/>
              <wp:wrapNone/>
              <wp:docPr id="3" name="Shape 3"/>
              <wp:cNvGraphicFramePr/>
              <a:graphic xmlns:a="http://schemas.openxmlformats.org/drawingml/2006/main">
                <a:graphicData uri="http://schemas.microsoft.com/office/word/2010/wordprocessingShape">
                  <wps:wsp>
                    <wps:cNvCnPr/>
                    <wps:spPr>
                      <a:xfrm>
                        <a:off x="0" y="0"/>
                        <a:ext cx="8229600" cy="0"/>
                      </a:xfrm>
                      <a:prstGeom prst="straightConnector1">
                        <a:avLst/>
                      </a:prstGeom>
                      <a:ln w="12700">
                        <a:solidFill/>
                      </a:ln>
                    </wps:spPr>
                    <wps:bodyPr/>
                  </wps:wsp>
                </a:graphicData>
              </a:graphic>
            </wp:anchor>
          </w:drawing>
        </mc:Choice>
        <mc:Fallback>
          <w:pict>
            <v:shape o:spt="32" o:oned="true" path="m,l21600,21600e" style="position:absolute;margin-left:50.300000000000004pt;margin-top:101.75pt;width:648.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E8" w:rsidRDefault="00FF0D0A">
    <w:pPr>
      <w:spacing w:line="1" w:lineRule="exact"/>
    </w:pPr>
    <w:r>
      <w:rPr>
        <w:noProof/>
        <w:lang w:val="es-ES" w:eastAsia="es-ES"/>
      </w:rPr>
      <mc:AlternateContent>
        <mc:Choice Requires="wps">
          <w:drawing>
            <wp:anchor distT="0" distB="0" distL="0" distR="0" simplePos="0" relativeHeight="251659264" behindDoc="1" locked="0" layoutInCell="1" allowOverlap="1">
              <wp:simplePos x="0" y="0"/>
              <wp:positionH relativeFrom="page">
                <wp:posOffset>903605</wp:posOffset>
              </wp:positionH>
              <wp:positionV relativeFrom="page">
                <wp:posOffset>1033780</wp:posOffset>
              </wp:positionV>
              <wp:extent cx="8223250" cy="164465"/>
              <wp:effectExtent l="0" t="0" r="0" b="0"/>
              <wp:wrapNone/>
              <wp:docPr id="4" name="Shape 4"/>
              <wp:cNvGraphicFramePr/>
              <a:graphic xmlns:a="http://schemas.openxmlformats.org/drawingml/2006/main">
                <a:graphicData uri="http://schemas.microsoft.com/office/word/2010/wordprocessingShape">
                  <wps:wsp>
                    <wps:cNvSpPr txBox="1"/>
                    <wps:spPr>
                      <a:xfrm>
                        <a:off x="0" y="0"/>
                        <a:ext cx="8223250" cy="164465"/>
                      </a:xfrm>
                      <a:prstGeom prst="rect">
                        <a:avLst/>
                      </a:prstGeom>
                      <a:noFill/>
                    </wps:spPr>
                    <wps:txbx>
                      <w:txbxContent>
                        <w:p w:rsidR="00F975E8" w:rsidRDefault="00FF0D0A">
                          <w:pPr>
                            <w:pStyle w:val="Headerorfooter20"/>
                            <w:tabs>
                              <w:tab w:val="left" w:pos="4008"/>
                              <w:tab w:val="right" w:pos="12950"/>
                            </w:tabs>
                            <w:rPr>
                              <w:sz w:val="24"/>
                              <w:szCs w:val="24"/>
                            </w:rPr>
                          </w:pPr>
                          <w:r>
                            <w:rPr>
                              <w:rStyle w:val="Headerorfooter2"/>
                              <w:sz w:val="24"/>
                              <w:szCs w:val="24"/>
                            </w:rPr>
                            <w:t>No L 143/</w:t>
                          </w:r>
                          <w:r>
                            <w:rPr>
                              <w:rStyle w:val="Headerorfooter2"/>
                              <w:sz w:val="24"/>
                              <w:szCs w:val="24"/>
                            </w:rPr>
                            <w:fldChar w:fldCharType="begin"/>
                          </w:r>
                          <w:r>
                            <w:rPr>
                              <w:rStyle w:val="Headerorfooter2"/>
                              <w:sz w:val="24"/>
                              <w:szCs w:val="24"/>
                            </w:rPr>
                            <w:instrText xml:space="preserve"> PAGE \* MERGEFORMAT </w:instrText>
                          </w:r>
                          <w:r>
                            <w:rPr>
                              <w:rStyle w:val="Headerorfooter2"/>
                              <w:sz w:val="24"/>
                              <w:szCs w:val="24"/>
                            </w:rPr>
                            <w:fldChar w:fldCharType="separate"/>
                          </w:r>
                          <w:r w:rsidR="00CF6684">
                            <w:rPr>
                              <w:rStyle w:val="Headerorfooter2"/>
                              <w:noProof/>
                              <w:sz w:val="24"/>
                              <w:szCs w:val="24"/>
                            </w:rPr>
                            <w:t>2</w:t>
                          </w:r>
                          <w:r>
                            <w:rPr>
                              <w:rStyle w:val="Headerorfooter2"/>
                              <w:sz w:val="24"/>
                              <w:szCs w:val="24"/>
                            </w:rPr>
                            <w:fldChar w:fldCharType="end"/>
                          </w:r>
                          <w:r>
                            <w:rPr>
                              <w:rStyle w:val="Headerorfooter2"/>
                              <w:sz w:val="24"/>
                              <w:szCs w:val="24"/>
                            </w:rPr>
                            <w:tab/>
                            <w:t>Official Journal of the European Communities</w:t>
                          </w:r>
                          <w:r>
                            <w:rPr>
                              <w:rStyle w:val="Headerorfooter2"/>
                              <w:sz w:val="24"/>
                              <w:szCs w:val="24"/>
                            </w:rPr>
                            <w:tab/>
                            <w:t>29. 5. 86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7" type="#_x0000_t202" style="position:absolute;margin-left:71.15pt;margin-top:81.4pt;width:647.5pt;height:12.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" filled="f" stroked="f">
              <v:textbox style="mso-fit-shape-to-text:t" inset="0,0,0,0">
                <w:txbxContent>
                  <w:p w:rsidR="00F975E8" w:rsidRDefault="00FF0D0A">
                    <w:pPr>
                      <w:pStyle w:val="Headerorfooter20"/>
                      <w:tabs>
                        <w:tab w:val="left" w:pos="4008"/>
                        <w:tab w:val="right" w:pos="12950"/>
                      </w:tabs>
                      <w:rPr>
                        <w:sz w:val="24"/>
                        <w:szCs w:val="24"/>
                      </w:rPr>
                    </w:pPr>
                    <w:r>
                      <w:rPr>
                        <w:rStyle w:val="Headerorfooter2"/>
                        <w:sz w:val="24"/>
                        <w:szCs w:val="24"/>
                      </w:rPr>
                      <w:t>No L 143/</w:t>
                    </w:r>
                    <w:r>
                      <w:rPr>
                        <w:rStyle w:val="Headerorfooter2"/>
                        <w:sz w:val="24"/>
                        <w:szCs w:val="24"/>
                      </w:rPr>
                      <w:fldChar w:fldCharType="begin"/>
                    </w:r>
                    <w:r>
                      <w:rPr>
                        <w:rStyle w:val="Headerorfooter2"/>
                        <w:sz w:val="24"/>
                        <w:szCs w:val="24"/>
                      </w:rPr>
                      <w:instrText xml:space="preserve"> PAGE \* MERGEFORMAT </w:instrText>
                    </w:r>
                    <w:r>
                      <w:rPr>
                        <w:rStyle w:val="Headerorfooter2"/>
                        <w:sz w:val="24"/>
                        <w:szCs w:val="24"/>
                      </w:rPr>
                      <w:fldChar w:fldCharType="separate"/>
                    </w:r>
                    <w:r w:rsidR="00CF6684">
                      <w:rPr>
                        <w:rStyle w:val="Headerorfooter2"/>
                        <w:noProof/>
                        <w:sz w:val="24"/>
                        <w:szCs w:val="24"/>
                      </w:rPr>
                      <w:t>2</w:t>
                    </w:r>
                    <w:r>
                      <w:rPr>
                        <w:rStyle w:val="Headerorfooter2"/>
                        <w:sz w:val="24"/>
                        <w:szCs w:val="24"/>
                      </w:rPr>
                      <w:fldChar w:fldCharType="end"/>
                    </w:r>
                    <w:r>
                      <w:rPr>
                        <w:rStyle w:val="Headerorfooter2"/>
                        <w:sz w:val="24"/>
                        <w:szCs w:val="24"/>
                      </w:rPr>
                      <w:tab/>
                      <w:t>Official Journal of the European Communities</w:t>
                    </w:r>
                    <w:r>
                      <w:rPr>
                        <w:rStyle w:val="Headerorfooter2"/>
                        <w:sz w:val="24"/>
                        <w:szCs w:val="24"/>
                      </w:rPr>
                      <w:tab/>
                      <w:t>29. 5. 86</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57216" behindDoc="1" locked="0" layoutInCell="1" allowOverlap="1">
              <wp:simplePos x="0" y="0"/>
              <wp:positionH relativeFrom="page">
                <wp:posOffset>903605</wp:posOffset>
              </wp:positionH>
              <wp:positionV relativeFrom="page">
                <wp:posOffset>1334770</wp:posOffset>
              </wp:positionV>
              <wp:extent cx="8229600" cy="0"/>
              <wp:effectExtent l="0" t="0" r="0" b="0"/>
              <wp:wrapNone/>
              <wp:docPr id="6" name="Shape 6"/>
              <wp:cNvGraphicFramePr/>
              <a:graphic xmlns:a="http://schemas.openxmlformats.org/drawingml/2006/main">
                <a:graphicData uri="http://schemas.microsoft.com/office/word/2010/wordprocessingShape">
                  <wps:wsp>
                    <wps:cNvCnPr/>
                    <wps:spPr>
                      <a:xfrm>
                        <a:off x="0" y="0"/>
                        <a:ext cx="8229600" cy="0"/>
                      </a:xfrm>
                      <a:prstGeom prst="straightConnector1">
                        <a:avLst/>
                      </a:prstGeom>
                      <a:ln w="12700">
                        <a:solidFill/>
                      </a:ln>
                    </wps:spPr>
                    <wps:bodyPr/>
                  </wps:wsp>
                </a:graphicData>
              </a:graphic>
            </wp:anchor>
          </w:drawing>
        </mc:Choice>
        <mc:Fallback>
          <w:pict>
            <v:shape o:spt="32" o:oned="true" path="m,l21600,21600e" style="position:absolute;margin-left:71.150000000000006pt;margin-top:105.10000000000001pt;width:648.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2011"/>
    <w:multiLevelType w:val="multilevel"/>
    <w:tmpl w:val="A66E5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510A2"/>
    <w:multiLevelType w:val="multilevel"/>
    <w:tmpl w:val="A5B23CA4"/>
    <w:lvl w:ilvl="0">
      <w:start w:val="1"/>
      <w:numFmt w:val="decimal"/>
      <w:lvlText w:val="Article %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251A5A"/>
    <w:multiLevelType w:val="multilevel"/>
    <w:tmpl w:val="5114ED02"/>
    <w:lvl w:ilvl="0">
      <w:start w:val="3"/>
      <w:numFmt w:val="decimal"/>
      <w:lvlText w:val="Article %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1B2FEB"/>
    <w:multiLevelType w:val="multilevel"/>
    <w:tmpl w:val="33802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D53503"/>
    <w:multiLevelType w:val="multilevel"/>
    <w:tmpl w:val="F12831F6"/>
    <w:lvl w:ilvl="0">
      <w:start w:val="1"/>
      <w:numFmt w:val="upperRoman"/>
      <w:lvlText w:val="Appendix %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BC1B7C"/>
    <w:multiLevelType w:val="multilevel"/>
    <w:tmpl w:val="5AE45A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821AFF"/>
    <w:multiLevelType w:val="multilevel"/>
    <w:tmpl w:val="A3A8F2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E8"/>
    <w:rsid w:val="00334194"/>
    <w:rsid w:val="00CF6684"/>
    <w:rsid w:val="00F975E8"/>
    <w:rsid w:val="00FF0D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A36079-15D1-4672-BD44-2B212323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basedOn w:val="Fuentedeprrafopredeter"/>
    <w:link w:val="Textoindependiente"/>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Fuentedeprrafopredeter"/>
    <w:link w:val="Headerorfooter20"/>
    <w:rPr>
      <w:rFonts w:ascii="Times New Roman" w:eastAsia="Times New Roman" w:hAnsi="Times New Roman" w:cs="Times New Roman"/>
      <w:b w:val="0"/>
      <w:bCs w:val="0"/>
      <w:i w:val="0"/>
      <w:iCs w:val="0"/>
      <w:smallCaps w:val="0"/>
      <w:strike w:val="0"/>
      <w:sz w:val="20"/>
      <w:szCs w:val="20"/>
      <w:u w:val="none"/>
    </w:rPr>
  </w:style>
  <w:style w:type="paragraph" w:styleId="Textoindependiente">
    <w:name w:val="Body Text"/>
    <w:basedOn w:val="Normal"/>
    <w:link w:val="TextoindependienteCar"/>
    <w:qFormat/>
    <w:pPr>
      <w:spacing w:after="260"/>
    </w:pPr>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1186</Words>
  <Characters>6528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Nicolas Chao119</cp:lastModifiedBy>
  <cp:revision>2</cp:revision>
  <dcterms:created xsi:type="dcterms:W3CDTF">2024-11-30T18:24:00Z</dcterms:created>
  <dcterms:modified xsi:type="dcterms:W3CDTF">2024-11-30T19:06:00Z</dcterms:modified>
</cp:coreProperties>
</file>