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4962F2F" w14:textId="064425DD" w:rsidR="00427F0E" w:rsidRPr="002E1225" w:rsidRDefault="007166C2" w:rsidP="00427F0E">
      <w:pPr>
        <w:ind w:left="180" w:right="147"/>
      </w:pPr>
      <w:bookmarkStart w:id="0" w:name="_Toc32613707"/>
      <w:r w:rsidRPr="002E1225">
        <w:rPr>
          <w:noProof/>
        </w:rPr>
        <mc:AlternateContent>
          <mc:Choice Requires="wps">
            <w:drawing>
              <wp:anchor distT="0" distB="0" distL="114300" distR="114300" simplePos="0" relativeHeight="251666432" behindDoc="0" locked="0" layoutInCell="1" allowOverlap="1" wp14:anchorId="180B4545" wp14:editId="036D1D0B">
                <wp:simplePos x="0" y="0"/>
                <wp:positionH relativeFrom="column">
                  <wp:posOffset>84455</wp:posOffset>
                </wp:positionH>
                <wp:positionV relativeFrom="page">
                  <wp:posOffset>908050</wp:posOffset>
                </wp:positionV>
                <wp:extent cx="6616800" cy="1124585"/>
                <wp:effectExtent l="0" t="0" r="0" b="5715"/>
                <wp:wrapNone/>
                <wp:docPr id="9" name="Text Box 9"/>
                <wp:cNvGraphicFramePr/>
                <a:graphic xmlns:a="http://schemas.openxmlformats.org/drawingml/2006/main">
                  <a:graphicData uri="http://schemas.microsoft.com/office/word/2010/wordprocessingShape">
                    <wps:wsp>
                      <wps:cNvSpPr txBox="1"/>
                      <wps:spPr>
                        <a:xfrm>
                          <a:off x="0" y="0"/>
                          <a:ext cx="6616800" cy="1124585"/>
                        </a:xfrm>
                        <a:prstGeom prst="rect">
                          <a:avLst/>
                        </a:prstGeom>
                        <a:noFill/>
                        <a:ln w="6350">
                          <a:noFill/>
                        </a:ln>
                      </wps:spPr>
                      <wps:txbx>
                        <w:txbxContent>
                          <w:p w14:paraId="723ABBC4" w14:textId="0C8C2E0E" w:rsidR="00E1566C" w:rsidRPr="00461371" w:rsidRDefault="00E1566C" w:rsidP="00637098">
                            <w:pPr>
                              <w:pStyle w:val="Title"/>
                            </w:pPr>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80B4545" id="_x0000_t202" coordsize="21600,21600" o:spt="202" path="m,l,21600r21600,l21600,xe">
                <v:stroke joinstyle="miter"/>
                <v:path gradientshapeok="t" o:connecttype="rect"/>
              </v:shapetype>
              <v:shape id="Text Box 9" o:spid="_x0000_s1026" type="#_x0000_t202" style="position:absolute;left:0;text-align:left;margin-left:6.65pt;margin-top:71.5pt;width:521pt;height:88.5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" filled="f" stroked="f" strokeweight=".5pt">
                <v:textbox inset="0,0,0,0">
                  <w:txbxContent>
                    <w:p w14:paraId="723ABBC4" w14:textId="0C8C2E0E" w:rsidR="00E1566C" w:rsidRPr="00461371" w:rsidRDefault="00E1566C" w:rsidP="00637098">
                      <w:pPr>
                        <w:pStyle w:val="Title"/>
                      </w:pPr>
                    </w:p>
                  </w:txbxContent>
                </v:textbox>
                <w10:wrap anchory="page"/>
              </v:shape>
            </w:pict>
          </mc:Fallback>
        </mc:AlternateContent>
      </w:r>
      <w:bookmarkEnd w:id="0"/>
      <w:r w:rsidR="00427F0E" w:rsidRPr="002E1225">
        <w:t xml:space="preserve">Shielding is a </w:t>
      </w:r>
      <w:r w:rsidR="00547A64" w:rsidRPr="002E1225">
        <w:t xml:space="preserve">term used to describe the </w:t>
      </w:r>
      <w:r w:rsidR="00427F0E" w:rsidRPr="002E1225">
        <w:t>protect</w:t>
      </w:r>
      <w:r w:rsidR="00547A64" w:rsidRPr="002E1225">
        <w:t xml:space="preserve">ion of </w:t>
      </w:r>
      <w:r w:rsidR="00427F0E" w:rsidRPr="002E1225">
        <w:t xml:space="preserve">individuals at high risk of severe COVID-19 illness </w:t>
      </w:r>
      <w:r w:rsidR="00547A64" w:rsidRPr="002E1225">
        <w:t xml:space="preserve">by </w:t>
      </w:r>
      <w:r w:rsidR="00427F0E" w:rsidRPr="002E1225">
        <w:t>separat</w:t>
      </w:r>
      <w:r w:rsidR="00547A64" w:rsidRPr="002E1225">
        <w:t>ing them</w:t>
      </w:r>
      <w:r w:rsidR="00427F0E" w:rsidRPr="002E1225">
        <w:t xml:space="preserve"> from the general population. </w:t>
      </w:r>
      <w:r w:rsidR="00A929FA" w:rsidRPr="002E1225">
        <w:t xml:space="preserve">An initial analysis of key considerations regarding shielding was set forth in </w:t>
      </w:r>
      <w:r w:rsidR="00427F0E" w:rsidRPr="002E1225">
        <w:t xml:space="preserve">the previous </w:t>
      </w:r>
      <w:r w:rsidR="00427F0E" w:rsidRPr="002E1225">
        <w:rPr>
          <w:szCs w:val="22"/>
        </w:rPr>
        <w:t>Social Science in Humanitarian Action Platform (</w:t>
      </w:r>
      <w:r w:rsidR="00427F0E" w:rsidRPr="002E1225">
        <w:t>SSHAP) publication on shielding</w:t>
      </w:r>
      <w:r w:rsidR="00547A64" w:rsidRPr="002E1225">
        <w:t>;</w:t>
      </w:r>
      <w:r w:rsidR="00427F0E" w:rsidRPr="002E1225">
        <w:fldChar w:fldCharType="begin" w:fldLock="1"/>
      </w:r>
      <w:r w:rsidR="00EE6861" w:rsidRPr="002E1225">
        <w:instrText>ADDIN CSL_CITATION {"citationItems":[{"id":"ITEM-1","itemData":{"author":[{"dropping-particle":"","family":"Butler","given":"Nadia","non-dropping-particle":"","parse-names":false,"suffix":""},{"dropping-particle":"","family":"Tulloch","given":"Olivia","non-dropping-particle":"","parse-names":false,"suffix":""}],"id":"ITEM-1","issued":{"date-parts":[["2020"]]},"title":"Considerations and Principles for Shielding People at High Risk of Severe Outcomes from COVID-19","type":"report"},"uris":["http://www.mendeley.com/documents/?uuid=adb7b963-20b3-31fd-a678-6200380e6d47"]}],"mendeley":{"formattedCitation":"&lt;sup&gt;1&lt;/sup&gt;","plainTextFormattedCitation":"1","previouslyFormattedCitation":"&lt;sup&gt;1&lt;/sup&gt;"},"properties":{"noteIndex":0},"schema":"https://github.com/citation-style-language/schema/raw/master/csl-citation.json"}</w:instrText>
      </w:r>
      <w:r w:rsidR="00427F0E" w:rsidRPr="002E1225">
        <w:fldChar w:fldCharType="separate"/>
      </w:r>
      <w:r w:rsidR="003227D2" w:rsidRPr="002E1225">
        <w:rPr>
          <w:noProof/>
          <w:vertAlign w:val="superscript"/>
        </w:rPr>
        <w:t>1</w:t>
      </w:r>
      <w:r w:rsidR="00427F0E" w:rsidRPr="002E1225">
        <w:fldChar w:fldCharType="end"/>
      </w:r>
      <w:r w:rsidR="00427F0E" w:rsidRPr="002E1225">
        <w:t xml:space="preserve"> </w:t>
      </w:r>
      <w:r w:rsidR="00A929FA" w:rsidRPr="002E1225">
        <w:t xml:space="preserve">this new analysis </w:t>
      </w:r>
      <w:r w:rsidR="00427F0E" w:rsidRPr="002E1225">
        <w:t xml:space="preserve">should be read in conjunction with that brief, which defines terms and outlines general principles essential to understanding the concept, including: </w:t>
      </w:r>
      <w:r w:rsidR="00432E9D" w:rsidRPr="002E1225">
        <w:t>what shielding means, why we shield and who should shield, how high-risk individuals might shield and key infection prevention and control (IPC) measures, implementation process, the challenges inherent to shielding and how they could be mitigated.</w:t>
      </w:r>
      <w:r w:rsidR="00427F0E" w:rsidRPr="002E1225">
        <w:t xml:space="preserve"> These general principles are not repeated here. Instead, this brief focuses on emerging evidence relevant to shielding, including research regarding </w:t>
      </w:r>
      <w:r w:rsidR="00D52372" w:rsidRPr="002E1225">
        <w:t xml:space="preserve">social </w:t>
      </w:r>
      <w:r w:rsidR="00427F0E" w:rsidRPr="002E1225">
        <w:t>acceptability and implementation o</w:t>
      </w:r>
      <w:r w:rsidR="003D50B0" w:rsidRPr="002E1225">
        <w:t xml:space="preserve">f shielding. </w:t>
      </w:r>
      <w:r w:rsidR="00427F0E" w:rsidRPr="002E1225">
        <w:t>The evidence is primarily drawn from low- and middle-income countries.</w:t>
      </w:r>
      <w:r w:rsidR="003D50B0" w:rsidRPr="002E1225">
        <w:t xml:space="preserve"> </w:t>
      </w:r>
    </w:p>
    <w:p w14:paraId="5CCBA06A" w14:textId="7F6D39D7" w:rsidR="00547A64" w:rsidRPr="002E1225" w:rsidRDefault="00427F0E" w:rsidP="000B1C87">
      <w:pPr>
        <w:ind w:left="180" w:right="147"/>
      </w:pPr>
      <w:r w:rsidRPr="002E1225">
        <w:t xml:space="preserve">As more evidence is made available, </w:t>
      </w:r>
      <w:r w:rsidR="00617F87" w:rsidRPr="002E1225">
        <w:t>we</w:t>
      </w:r>
      <w:r w:rsidRPr="002E1225">
        <w:t xml:space="preserve"> will produce further updates. </w:t>
      </w:r>
      <w:r w:rsidRPr="002E1225">
        <w:rPr>
          <w:szCs w:val="22"/>
        </w:rPr>
        <w:t>Contact SSHAP to provide feedback, new evidence, and to engage. The brief was developed for SSHAP by IDS (led by Megan Schmidt-Sane) with Anthrologica (Leslie Jones and Olivia Tulloch). The brief is the responsibility of SSHAP.</w:t>
      </w:r>
    </w:p>
    <w:p w14:paraId="319D5525" w14:textId="775396C3" w:rsidR="00547A64" w:rsidRPr="002E1225" w:rsidRDefault="00547A64" w:rsidP="000A0C14">
      <w:pPr>
        <w:sectPr w:rsidR="00547A64" w:rsidRPr="002E1225" w:rsidSect="000B1C87">
          <w:footerReference w:type="default" r:id="rId11"/>
          <w:footerReference w:type="first" r:id="rId12"/>
          <w:endnotePr>
            <w:numFmt w:val="decimal"/>
          </w:endnotePr>
          <w:pgSz w:w="11901" w:h="16817"/>
          <w:pgMar w:top="4122" w:right="567" w:bottom="1576" w:left="567" w:header="567" w:footer="454" w:gutter="0"/>
          <w:cols w:space="720"/>
          <w:titlePg/>
          <w:docGrid w:linePitch="360"/>
        </w:sectPr>
      </w:pPr>
    </w:p>
    <w:p w14:paraId="7BD84261" w14:textId="1C50F3E7" w:rsidR="000A0C14" w:rsidRPr="002E1225" w:rsidRDefault="00530719" w:rsidP="004966D4">
      <w:pPr>
        <w:pStyle w:val="Heading2"/>
      </w:pPr>
      <w:r w:rsidRPr="002E1225">
        <w:t xml:space="preserve">Summary considerations for </w:t>
      </w:r>
      <w:r w:rsidR="0082070D">
        <w:t xml:space="preserve">adopting </w:t>
      </w:r>
      <w:r w:rsidRPr="002E1225">
        <w:t xml:space="preserve">SHIELDING </w:t>
      </w:r>
    </w:p>
    <w:p w14:paraId="39430966" w14:textId="68A9B610" w:rsidR="00530719" w:rsidRPr="002E1225" w:rsidRDefault="00530719" w:rsidP="00617F87">
      <w:r w:rsidRPr="002E1225">
        <w:t>When considering shielding, it is important to plan for socioeconomic impacts on the shielded, including psychosocial well-being, income generation, food access, and health service access.</w:t>
      </w:r>
      <w:r w:rsidR="00617F87" w:rsidRPr="002E1225">
        <w:t xml:space="preserve"> </w:t>
      </w:r>
      <w:r w:rsidRPr="002E1225">
        <w:t xml:space="preserve">These are trade-offs that communities and individuals must weigh against the positive </w:t>
      </w:r>
      <w:r w:rsidR="00A31675">
        <w:t>effects</w:t>
      </w:r>
      <w:r w:rsidRPr="002E1225">
        <w:t xml:space="preserve"> of shielding in the broader context of COVID-19 containment measures.  </w:t>
      </w:r>
    </w:p>
    <w:p w14:paraId="14E4F72E" w14:textId="1AE277A8" w:rsidR="000554E9" w:rsidRPr="002E1225" w:rsidRDefault="000554E9" w:rsidP="000554E9">
      <w:pPr>
        <w:pStyle w:val="ListParagraph"/>
        <w:rPr>
          <w:lang w:val="en-GB"/>
        </w:rPr>
      </w:pPr>
      <w:r w:rsidRPr="002E1225">
        <w:rPr>
          <w:b/>
          <w:lang w:val="en-GB"/>
        </w:rPr>
        <w:t>Shielding will need to be adapted</w:t>
      </w:r>
      <w:r w:rsidRPr="002E1225">
        <w:rPr>
          <w:lang w:val="en-GB"/>
        </w:rPr>
        <w:t xml:space="preserve"> based on state and non-state capacity to provide social and economic support for shielded individuals and their households</w:t>
      </w:r>
      <w:r w:rsidR="000B1C87">
        <w:rPr>
          <w:lang w:val="en-GB"/>
        </w:rPr>
        <w:t>, and must be co-designed with target communities</w:t>
      </w:r>
      <w:r w:rsidRPr="002E1225">
        <w:rPr>
          <w:lang w:val="en-GB"/>
        </w:rPr>
        <w:t xml:space="preserve">. Major concerns of shielding are </w:t>
      </w:r>
      <w:r w:rsidRPr="002E1225">
        <w:rPr>
          <w:b/>
          <w:lang w:val="en-GB"/>
        </w:rPr>
        <w:t xml:space="preserve">loss of </w:t>
      </w:r>
      <w:r w:rsidRPr="002E1225">
        <w:rPr>
          <w:b/>
          <w:lang w:val="en-GB"/>
        </w:rPr>
        <w:lastRenderedPageBreak/>
        <w:t>livelihood</w:t>
      </w:r>
      <w:r w:rsidRPr="002E1225">
        <w:rPr>
          <w:lang w:val="en-GB"/>
        </w:rPr>
        <w:t xml:space="preserve"> for those shielded, potential unpaid caregiving by family members, and overall economic impact on the household.  </w:t>
      </w:r>
      <w:r w:rsidRPr="002E1225">
        <w:rPr>
          <w:b/>
          <w:lang w:val="en-GB"/>
        </w:rPr>
        <w:t>Social, medical, and practical support is essential</w:t>
      </w:r>
      <w:r w:rsidRPr="002E1225">
        <w:rPr>
          <w:lang w:val="en-GB"/>
        </w:rPr>
        <w:t xml:space="preserve"> for shielding to be successful, but may not be realistic in many settings where community members or humanitarians will likely play a significant role. It is also important to recognise that the economic impact of shielding will be far less than the impact of a strict population-wide lockdown.</w:t>
      </w:r>
      <w:r w:rsidRPr="002E1225">
        <w:rPr>
          <w:lang w:val="en-GB"/>
        </w:rPr>
        <w:fldChar w:fldCharType="begin" w:fldLock="1"/>
      </w:r>
      <w:r w:rsidRPr="002E1225">
        <w:rPr>
          <w:lang w:val="en-GB"/>
        </w:rPr>
        <w:instrText>ADDIN CSL_CITATION {"citationItems":[{"id":"ITEM-1","itemData":{"author":[{"dropping-particle":"","family":"Butler","given":"Nadia","non-dropping-particle":"","parse-names":false,"suffix":""},{"dropping-particle":"","family":"Tulloch","given":"Olivia","non-dropping-particle":"","parse-names":false,"suffix":""}],"id":"ITEM-1","issued":{"date-parts":[["2020"]]},"title":"Considerations and Principles for Shielding People at High Risk of Severe Outcomes from COVID-19","type":"report"},"uris":["http://www.mendeley.com/documents/?uuid=c6f4f954-30fc-38d6-a7a3-a99c898421f3"]}],"mendeley":{"formattedCitation":"&lt;sup&gt;46&lt;/sup&gt;","plainTextFormattedCitation":"46","previouslyFormattedCitation":"&lt;sup&gt;46&lt;/sup&gt;"},"properties":{"noteIndex":0},"schema":"https://github.com/citation-style-language/schema/raw/master/csl-citation.json"}</w:instrText>
      </w:r>
      <w:r w:rsidRPr="002E1225">
        <w:rPr>
          <w:lang w:val="en-GB"/>
        </w:rPr>
        <w:fldChar w:fldCharType="separate"/>
      </w:r>
      <w:r w:rsidRPr="002E1225">
        <w:rPr>
          <w:noProof/>
          <w:vertAlign w:val="superscript"/>
          <w:lang w:val="en-GB"/>
        </w:rPr>
        <w:t>46</w:t>
      </w:r>
      <w:r w:rsidRPr="002E1225">
        <w:rPr>
          <w:lang w:val="en-GB"/>
        </w:rPr>
        <w:fldChar w:fldCharType="end"/>
      </w:r>
    </w:p>
    <w:p w14:paraId="5BCC5DED" w14:textId="68342BFA" w:rsidR="00530719" w:rsidRPr="000B1C87" w:rsidRDefault="00530719" w:rsidP="00530719">
      <w:pPr>
        <w:pStyle w:val="ListParagraph"/>
        <w:rPr>
          <w:lang w:val="en-GB"/>
        </w:rPr>
      </w:pPr>
      <w:r w:rsidRPr="002E1225">
        <w:rPr>
          <w:b/>
          <w:lang w:val="en-GB"/>
        </w:rPr>
        <w:t>Terminology and meaning should be made clear</w:t>
      </w:r>
      <w:r w:rsidRPr="002E1225">
        <w:rPr>
          <w:lang w:val="en-GB"/>
        </w:rPr>
        <w:t>. There is confusion about the differences in shielding, quarantine, and isolation</w:t>
      </w:r>
      <w:r w:rsidR="00617F87" w:rsidRPr="002E1225">
        <w:rPr>
          <w:lang w:val="en-GB"/>
        </w:rPr>
        <w:t>. T</w:t>
      </w:r>
      <w:r w:rsidRPr="002E1225">
        <w:rPr>
          <w:lang w:val="en-GB"/>
        </w:rPr>
        <w:t xml:space="preserve">he </w:t>
      </w:r>
      <w:r w:rsidRPr="000B1C87">
        <w:rPr>
          <w:lang w:val="en-GB"/>
        </w:rPr>
        <w:t>distinction between these needs to be clear</w:t>
      </w:r>
      <w:r w:rsidR="00617F87" w:rsidRPr="000B1C87">
        <w:rPr>
          <w:lang w:val="en-GB"/>
        </w:rPr>
        <w:t xml:space="preserve">ly </w:t>
      </w:r>
      <w:r w:rsidRPr="000B1C87">
        <w:rPr>
          <w:lang w:val="en-GB"/>
        </w:rPr>
        <w:t>communicat</w:t>
      </w:r>
      <w:r w:rsidR="00617F87" w:rsidRPr="000B1C87">
        <w:rPr>
          <w:lang w:val="en-GB"/>
        </w:rPr>
        <w:t>ed by those advocating shielding</w:t>
      </w:r>
      <w:r w:rsidRPr="000B1C87">
        <w:rPr>
          <w:lang w:val="en-GB"/>
        </w:rPr>
        <w:t>.</w:t>
      </w:r>
    </w:p>
    <w:p w14:paraId="4A3C3F10" w14:textId="5F4971A1" w:rsidR="00530719" w:rsidRPr="002E1225" w:rsidRDefault="00530719" w:rsidP="000554E9">
      <w:pPr>
        <w:pStyle w:val="ListParagraph"/>
      </w:pPr>
      <w:r w:rsidRPr="002E1225">
        <w:rPr>
          <w:b/>
          <w:lang w:val="en-GB"/>
        </w:rPr>
        <w:t xml:space="preserve">Mandatory shielding policies are </w:t>
      </w:r>
      <w:r w:rsidR="002E1225" w:rsidRPr="002E1225">
        <w:rPr>
          <w:b/>
          <w:lang w:val="en-GB"/>
        </w:rPr>
        <w:t>un</w:t>
      </w:r>
      <w:r w:rsidRPr="002E1225">
        <w:rPr>
          <w:b/>
          <w:lang w:val="en-GB"/>
        </w:rPr>
        <w:t xml:space="preserve">likely to </w:t>
      </w:r>
      <w:r w:rsidR="002E1225" w:rsidRPr="002E1225">
        <w:rPr>
          <w:b/>
          <w:lang w:val="en-GB"/>
        </w:rPr>
        <w:t xml:space="preserve">assure </w:t>
      </w:r>
      <w:r w:rsidRPr="002E1225">
        <w:rPr>
          <w:b/>
          <w:lang w:val="en-GB"/>
        </w:rPr>
        <w:t>compliance.</w:t>
      </w:r>
      <w:r w:rsidRPr="002E1225">
        <w:rPr>
          <w:bCs/>
          <w:lang w:val="en-GB"/>
        </w:rPr>
        <w:t xml:space="preserve"> </w:t>
      </w:r>
      <w:r w:rsidR="002E1225" w:rsidRPr="002E1225">
        <w:rPr>
          <w:bCs/>
          <w:lang w:val="en-GB"/>
        </w:rPr>
        <w:t xml:space="preserve">People </w:t>
      </w:r>
      <w:r w:rsidRPr="002E1225">
        <w:rPr>
          <w:bCs/>
          <w:lang w:val="en-GB"/>
        </w:rPr>
        <w:t xml:space="preserve">are more likely to comply with policies that allow individuals to make their own decisions about whether to shield based on their own </w:t>
      </w:r>
      <w:r w:rsidR="002E1225" w:rsidRPr="002E1225">
        <w:rPr>
          <w:bCs/>
          <w:lang w:val="en-GB"/>
        </w:rPr>
        <w:t xml:space="preserve">assessment of </w:t>
      </w:r>
      <w:r w:rsidRPr="002E1225">
        <w:rPr>
          <w:bCs/>
          <w:lang w:val="en-GB"/>
        </w:rPr>
        <w:t xml:space="preserve">risk and personal situations. </w:t>
      </w:r>
      <w:r w:rsidR="002E1225" w:rsidRPr="002E1225">
        <w:rPr>
          <w:b/>
          <w:lang w:val="en-GB"/>
        </w:rPr>
        <w:t>The decision to shield or not must lie entirely with a family and its high-risk individual</w:t>
      </w:r>
      <w:r w:rsidR="002E1225">
        <w:rPr>
          <w:b/>
          <w:lang w:val="en-GB"/>
        </w:rPr>
        <w:t>(s)</w:t>
      </w:r>
      <w:r w:rsidR="002E1225" w:rsidRPr="002E1225">
        <w:rPr>
          <w:b/>
          <w:lang w:val="en-GB"/>
        </w:rPr>
        <w:t>.</w:t>
      </w:r>
      <w:r w:rsidR="002E1225" w:rsidRPr="002E1225">
        <w:rPr>
          <w:lang w:val="en-GB"/>
        </w:rPr>
        <w:t xml:space="preserve"> Information and support should be provided, but the decision must</w:t>
      </w:r>
      <w:r w:rsidR="002E1225">
        <w:rPr>
          <w:lang w:val="en-GB"/>
        </w:rPr>
        <w:t xml:space="preserve"> happen</w:t>
      </w:r>
      <w:r w:rsidR="002E1225" w:rsidRPr="002E1225">
        <w:rPr>
          <w:lang w:val="en-GB"/>
        </w:rPr>
        <w:t xml:space="preserve"> with</w:t>
      </w:r>
      <w:r w:rsidR="002E1225">
        <w:rPr>
          <w:lang w:val="en-GB"/>
        </w:rPr>
        <w:t xml:space="preserve">out </w:t>
      </w:r>
      <w:r w:rsidR="002E1225" w:rsidRPr="002E1225">
        <w:rPr>
          <w:lang w:val="en-GB"/>
        </w:rPr>
        <w:t>coercion</w:t>
      </w:r>
      <w:r w:rsidR="002E1225">
        <w:rPr>
          <w:lang w:val="en-GB"/>
        </w:rPr>
        <w:t xml:space="preserve"> </w:t>
      </w:r>
      <w:r w:rsidR="002E1225" w:rsidRPr="002E1225">
        <w:rPr>
          <w:lang w:val="en-GB"/>
        </w:rPr>
        <w:t>from local leaders, authorities or humanitarian organisations.</w:t>
      </w:r>
    </w:p>
    <w:p w14:paraId="796F801A" w14:textId="128665D8" w:rsidR="00530719" w:rsidRPr="002E1225" w:rsidRDefault="00530719" w:rsidP="00530719">
      <w:pPr>
        <w:pStyle w:val="ListParagraph"/>
        <w:rPr>
          <w:lang w:val="en-GB"/>
        </w:rPr>
      </w:pPr>
      <w:r w:rsidRPr="002E1225">
        <w:rPr>
          <w:b/>
          <w:lang w:val="en-GB"/>
        </w:rPr>
        <w:t>Shielding requires cross-sectoral management</w:t>
      </w:r>
      <w:r w:rsidRPr="002E1225">
        <w:rPr>
          <w:lang w:val="en-GB"/>
        </w:rPr>
        <w:t xml:space="preserve"> and buy-in from government,</w:t>
      </w:r>
      <w:r w:rsidR="002E1225">
        <w:rPr>
          <w:lang w:val="en-GB"/>
        </w:rPr>
        <w:t xml:space="preserve"> and those supporting from</w:t>
      </w:r>
      <w:r w:rsidRPr="002E1225">
        <w:rPr>
          <w:lang w:val="en-GB"/>
        </w:rPr>
        <w:t xml:space="preserve"> civil society and communit</w:t>
      </w:r>
      <w:r w:rsidR="002E1225">
        <w:rPr>
          <w:lang w:val="en-GB"/>
        </w:rPr>
        <w:t>ies</w:t>
      </w:r>
      <w:r w:rsidRPr="002E1225">
        <w:rPr>
          <w:lang w:val="en-GB"/>
        </w:rPr>
        <w:t xml:space="preserve">. Government and humanitarian systems </w:t>
      </w:r>
      <w:r w:rsidR="002E1225">
        <w:rPr>
          <w:lang w:val="en-GB"/>
        </w:rPr>
        <w:t>can</w:t>
      </w:r>
      <w:r w:rsidRPr="002E1225">
        <w:rPr>
          <w:lang w:val="en-GB"/>
        </w:rPr>
        <w:t xml:space="preserve"> </w:t>
      </w:r>
      <w:r w:rsidR="002E1225">
        <w:rPr>
          <w:lang w:val="en-GB"/>
        </w:rPr>
        <w:t>be inadequately connected</w:t>
      </w:r>
      <w:r w:rsidRPr="002E1225">
        <w:rPr>
          <w:lang w:val="en-GB"/>
        </w:rPr>
        <w:t>, yet shielding will require coordination among a variety of sectors (e.g., health, WASH, social, and economic). A COVID-19 task force that includes these various actors and sectors could be a place to encourage cross-sectoral management, coordination, and implementation of shielding.</w:t>
      </w:r>
    </w:p>
    <w:p w14:paraId="45925F94" w14:textId="202813FA" w:rsidR="00530719" w:rsidRPr="002E1225" w:rsidRDefault="00821942" w:rsidP="00530719">
      <w:pPr>
        <w:pStyle w:val="ListParagraph"/>
        <w:rPr>
          <w:lang w:val="en-GB"/>
        </w:rPr>
      </w:pPr>
      <w:r>
        <w:rPr>
          <w:b/>
          <w:lang w:val="en-GB"/>
        </w:rPr>
        <w:t>Humanitarian organisations that f</w:t>
      </w:r>
      <w:r w:rsidR="00530719" w:rsidRPr="002E1225">
        <w:rPr>
          <w:b/>
          <w:lang w:val="en-GB"/>
        </w:rPr>
        <w:t>acilitat</w:t>
      </w:r>
      <w:r>
        <w:rPr>
          <w:b/>
          <w:lang w:val="en-GB"/>
        </w:rPr>
        <w:t>e</w:t>
      </w:r>
      <w:r w:rsidR="00530719" w:rsidRPr="002E1225">
        <w:rPr>
          <w:b/>
          <w:lang w:val="en-GB"/>
        </w:rPr>
        <w:t xml:space="preserve"> shielding </w:t>
      </w:r>
      <w:r w:rsidR="00530719" w:rsidRPr="002E1225">
        <w:rPr>
          <w:lang w:val="en-GB"/>
        </w:rPr>
        <w:t xml:space="preserve">should </w:t>
      </w:r>
      <w:r>
        <w:rPr>
          <w:lang w:val="en-GB"/>
        </w:rPr>
        <w:t xml:space="preserve">do so as </w:t>
      </w:r>
      <w:r w:rsidR="00530719" w:rsidRPr="002E1225">
        <w:rPr>
          <w:lang w:val="en-GB"/>
        </w:rPr>
        <w:t xml:space="preserve">part of a larger health and WASH promotion response, </w:t>
      </w:r>
      <w:r>
        <w:rPr>
          <w:lang w:val="en-GB"/>
        </w:rPr>
        <w:t xml:space="preserve">(e.g. </w:t>
      </w:r>
      <w:r w:rsidR="00530719" w:rsidRPr="002E1225">
        <w:rPr>
          <w:lang w:val="en-GB"/>
        </w:rPr>
        <w:t>including water supply, provision of soap, COVID-19 awareness, and linkages to assistance</w:t>
      </w:r>
      <w:r>
        <w:rPr>
          <w:lang w:val="en-GB"/>
        </w:rPr>
        <w:t>)</w:t>
      </w:r>
      <w:r w:rsidR="00530719" w:rsidRPr="002E1225">
        <w:rPr>
          <w:lang w:val="en-GB"/>
        </w:rPr>
        <w:t>. These other activities are important entry points that can enhance community buy-in and build trust with the humanitarian organisation. Where shielding is not feasible or may contribute to the risk level, organisations should focus on non-shielding response measures.</w:t>
      </w:r>
    </w:p>
    <w:p w14:paraId="1B698D9B" w14:textId="77777777" w:rsidR="00530719" w:rsidRPr="002E1225" w:rsidRDefault="00530719" w:rsidP="00530719">
      <w:pPr>
        <w:pStyle w:val="ListParagraph"/>
        <w:rPr>
          <w:lang w:val="en-GB"/>
        </w:rPr>
      </w:pPr>
      <w:r w:rsidRPr="002E1225">
        <w:rPr>
          <w:b/>
          <w:lang w:val="en-GB"/>
        </w:rPr>
        <w:t>Ongoing risk analysis must be integrated within any shielding intervention</w:t>
      </w:r>
      <w:r w:rsidRPr="002E1225">
        <w:rPr>
          <w:lang w:val="en-GB"/>
        </w:rPr>
        <w:t>. For example, if a high-risk individual loses access to critical health treatment because of shielding, the risk of shielding may outweigh the benefit. Based on the unique needs and circumstances of each family and its members, the determination whether to shield, or rather focus on other prevention measures, should be supported.</w:t>
      </w:r>
    </w:p>
    <w:p w14:paraId="08DACE38" w14:textId="6E644190" w:rsidR="000554E9" w:rsidRDefault="000554E9" w:rsidP="000B1C87">
      <w:pPr>
        <w:pStyle w:val="ListParagraph"/>
      </w:pPr>
      <w:r>
        <w:rPr>
          <w:b/>
          <w:lang w:val="en-GB"/>
        </w:rPr>
        <w:t>Risk of d</w:t>
      </w:r>
      <w:r w:rsidR="00530719" w:rsidRPr="002E1225">
        <w:rPr>
          <w:b/>
          <w:lang w:val="en-GB"/>
        </w:rPr>
        <w:t xml:space="preserve">omestic violence and abuse </w:t>
      </w:r>
      <w:r>
        <w:rPr>
          <w:b/>
          <w:lang w:val="en-GB"/>
        </w:rPr>
        <w:t>of women, girls and older adults has increased in some populations during COVID-19 lockdown</w:t>
      </w:r>
      <w:r w:rsidR="00530719" w:rsidRPr="002E1225">
        <w:rPr>
          <w:lang w:val="en-GB"/>
        </w:rPr>
        <w:t xml:space="preserve">. Shielded individuals should be provided </w:t>
      </w:r>
      <w:r w:rsidR="00B42CE0">
        <w:rPr>
          <w:lang w:val="en-GB"/>
        </w:rPr>
        <w:t xml:space="preserve">with information on </w:t>
      </w:r>
      <w:r w:rsidR="00530719" w:rsidRPr="002E1225">
        <w:rPr>
          <w:lang w:val="en-GB"/>
        </w:rPr>
        <w:t>locally-appropriate avenues to report cases and receive emergency support after an incident has occurred.</w:t>
      </w:r>
    </w:p>
    <w:p w14:paraId="45B0C579" w14:textId="087BFD48" w:rsidR="000554E9" w:rsidRDefault="000554E9" w:rsidP="000B1C87">
      <w:pPr>
        <w:pStyle w:val="Heading2"/>
      </w:pPr>
      <w:r>
        <w:t>Interpretations of shielding</w:t>
      </w:r>
    </w:p>
    <w:p w14:paraId="3277908E" w14:textId="2A018C6E" w:rsidR="0065073C" w:rsidRPr="002E1225" w:rsidRDefault="0065073C" w:rsidP="001B5026">
      <w:pPr>
        <w:ind w:right="147"/>
      </w:pPr>
      <w:r w:rsidRPr="002E1225">
        <w:t xml:space="preserve">Shielding is the practice of limiting contact between individuals at high risk of severe disease and </w:t>
      </w:r>
      <w:r w:rsidR="0009619E" w:rsidRPr="002E1225">
        <w:t>those</w:t>
      </w:r>
      <w:r w:rsidRPr="002E1225">
        <w:t xml:space="preserve"> who are at lower risk </w:t>
      </w:r>
      <w:r w:rsidR="0009619E" w:rsidRPr="002E1225">
        <w:t xml:space="preserve">but </w:t>
      </w:r>
      <w:r w:rsidRPr="002E1225">
        <w:t>may transmit the virus.  As countries begin to relax lockdown policies, shielding vulnerable groups has been proposed to protect those most at risk of severe outcomes from COVID-19, while allowing the rest of society and the economy to re-open.</w:t>
      </w:r>
      <w:r w:rsidRPr="002E1225">
        <w:fldChar w:fldCharType="begin" w:fldLock="1"/>
      </w:r>
      <w:r w:rsidR="00EE6861" w:rsidRPr="002E1225">
        <w:instrText>ADDIN CSL_CITATION {"citationItems":[{"id":"ITEM-1","itemData":{"author":[{"dropping-particle":"","family":"Jayaram","given":"Kartik","non-dropping-particle":"","parse-names":false,"suffix":""},{"dropping-particle":"","family":"Leke","given":"Acha","non-dropping-particle":"","parse-names":false,"suffix":""},{"dropping-particle":"","family":"Ooko-Ombaka","given":"Amandla","non-dropping-particle":"","parse-names":false,"suffix":""},{"dropping-particle":"","family":"Sun","given":"Ying Sunny","non-dropping-particle":"","parse-names":false,"suffix":""}],"id":"ITEM-1","issued":{"date-parts":[["2020"]]},"title":"COVID-19 in Africa: Save lives and livelihoods","type":"report"},"uris":["http://www.mendeley.com/documents/?uuid=fd7a661c-6b40-470a-81b2-6e3455db8945"]}],"mendeley":{"formattedCitation":"&lt;sup&gt;2&lt;/sup&gt;","plainTextFormattedCitation":"2","previouslyFormattedCitation":"&lt;sup&gt;2&lt;/sup&gt;"},"properties":{"noteIndex":0},"schema":"https://github.com/citation-style-language/schema/raw/master/csl-citation.json"}</w:instrText>
      </w:r>
      <w:r w:rsidRPr="002E1225">
        <w:fldChar w:fldCharType="separate"/>
      </w:r>
      <w:r w:rsidR="003227D2" w:rsidRPr="002E1225">
        <w:rPr>
          <w:noProof/>
          <w:vertAlign w:val="superscript"/>
        </w:rPr>
        <w:t>2</w:t>
      </w:r>
      <w:r w:rsidRPr="002E1225">
        <w:fldChar w:fldCharType="end"/>
      </w:r>
      <w:r w:rsidRPr="002E1225">
        <w:t xml:space="preserve"> Other terms may be used instead of shielding in different contexts</w:t>
      </w:r>
      <w:r w:rsidR="0037413E" w:rsidRPr="002E1225">
        <w:t xml:space="preserve"> and may represent different shielding practices</w:t>
      </w:r>
      <w:r w:rsidRPr="002E1225">
        <w:t xml:space="preserve">, such as stratify-and-shield, cocooning, </w:t>
      </w:r>
      <w:r w:rsidRPr="002E1225">
        <w:rPr>
          <w:i/>
        </w:rPr>
        <w:t>confinement préventif</w:t>
      </w:r>
      <w:r w:rsidRPr="002E1225">
        <w:t xml:space="preserve">, </w:t>
      </w:r>
      <w:r w:rsidRPr="002E1225">
        <w:rPr>
          <w:i/>
        </w:rPr>
        <w:t xml:space="preserve">quarantine des personnes à haut risque </w:t>
      </w:r>
      <w:r w:rsidRPr="002E1225">
        <w:t>or reverse quarantine. Shielding may also be conducted</w:t>
      </w:r>
      <w:r w:rsidR="00B051DC" w:rsidRPr="002E1225">
        <w:t xml:space="preserve"> without being separately identified, as </w:t>
      </w:r>
      <w:r w:rsidR="00A929FA" w:rsidRPr="002E1225">
        <w:t xml:space="preserve">when it is </w:t>
      </w:r>
      <w:r w:rsidR="00B051DC" w:rsidRPr="002E1225">
        <w:t xml:space="preserve">part of </w:t>
      </w:r>
      <w:r w:rsidRPr="002E1225">
        <w:t xml:space="preserve">a broader </w:t>
      </w:r>
      <w:r w:rsidR="00B051DC" w:rsidRPr="002E1225">
        <w:t xml:space="preserve">package </w:t>
      </w:r>
      <w:r w:rsidRPr="002E1225">
        <w:t xml:space="preserve">of </w:t>
      </w:r>
      <w:r w:rsidR="00B051DC" w:rsidRPr="002E1225">
        <w:t>measures to protect the vulnerable.</w:t>
      </w:r>
    </w:p>
    <w:p w14:paraId="2FF1613E" w14:textId="78A7CF61" w:rsidR="0065073C" w:rsidRPr="002E1225" w:rsidRDefault="0065073C" w:rsidP="0065073C">
      <w:r w:rsidRPr="002E1225">
        <w:t>Shielding may take place at almost any level within a community</w:t>
      </w:r>
      <w:r w:rsidR="000554E9">
        <w:t>, t</w:t>
      </w:r>
      <w:r w:rsidRPr="002E1225">
        <w:t>his brief focuses mainly on a household shielding approach where, as described in guidance developed by the London School of Hygiene and Tropical Medicine (LSHTM),</w:t>
      </w:r>
      <w:r w:rsidRPr="002E1225">
        <w:fldChar w:fldCharType="begin" w:fldLock="1"/>
      </w:r>
      <w:r w:rsidR="00EE6861" w:rsidRPr="002E1225">
        <w:instrText>ADDIN CSL_CITATION {"citationItems":[{"id":"ITEM-1","itemData":{"author":[{"dropping-particle":"","family":"Favas","given":"C.","non-dropping-particle":"","parse-names":false,"suffix":""},{"dropping-particle":"","family":"Abdelmagid","given":"N.","non-dropping-particle":"","parse-names":false,"suffix":""},{"dropping-particle":"","family":"Checchi","given":"F.","non-dropping-particle":"","parse-names":false,"suffix":""},{"dropping-particle":"","family":"Garry","given":"S.","non-dropping-particle":"","parse-names":false,"suffix":""},{"dropping-particle":"","family":"Jarrett","given":"P.","non-dropping-particle":"","parse-names":false,"suffix":""},{"dropping-particle":"","family":"Ratnayake","given":"R.","non-dropping-particle":"","parse-names":false,"suffix":""},{"dropping-particle":"","family":"Warsame","given":"A.","non-dropping-particle":"","parse-names":false,"suffix":""}],"id":"ITEM-1","issued":{"date-parts":[["2020"]]},"title":"Guidance for the prevention of COVID-19 infections among high-risk individuals in camp and camp-like settings","type":"report"},"uris":["http://www.mendeley.com/documents/?uuid=9a05e0fd-85a5-4132-b183-99960062e6b7"]}],"mendeley":{"formattedCitation":"&lt;sup&gt;3&lt;/sup&gt;","plainTextFormattedCitation":"3","previouslyFormattedCitation":"&lt;sup&gt;3&lt;/sup&gt;"},"properties":{"noteIndex":0},"schema":"https://github.com/citation-style-language/schema/raw/master/csl-citation.json"}</w:instrText>
      </w:r>
      <w:r w:rsidRPr="002E1225">
        <w:fldChar w:fldCharType="separate"/>
      </w:r>
      <w:r w:rsidR="003227D2" w:rsidRPr="002E1225">
        <w:rPr>
          <w:noProof/>
          <w:vertAlign w:val="superscript"/>
        </w:rPr>
        <w:t>3</w:t>
      </w:r>
      <w:r w:rsidRPr="002E1225">
        <w:fldChar w:fldCharType="end"/>
      </w:r>
      <w:r w:rsidRPr="002E1225">
        <w:rPr>
          <w:vertAlign w:val="superscript"/>
        </w:rPr>
        <w:t>,</w:t>
      </w:r>
      <w:r w:rsidRPr="002E1225">
        <w:fldChar w:fldCharType="begin" w:fldLock="1"/>
      </w:r>
      <w:r w:rsidR="00EE6861" w:rsidRPr="002E1225">
        <w:instrText>ADDIN CSL_CITATION {"citationItems":[{"id":"ITEM-1","itemData":{"author":[{"dropping-particle":"","family":"Favas","given":"C.","non-dropping-particle":"","parse-names":false,"suffix":""},{"dropping-particle":"","family":"Checchi","given":"F.","non-dropping-particle":"","parse-names":false,"suffix":""},{"dropping-particle":"","family":"Waldman","given":"R. J.","non-dropping-particle":"","parse-names":false,"suffix":""}],"id":"ITEM-1","issued":{"date-parts":[["2020"]]},"title":"Guidance for the prevention of COVID-19 infections among high-risk individuals in urban settings","type":"report"},"uris":["http://www.mendeley.com/documents/?uuid=4290db6f-8e07-4166-87dd-294fe060027a"]}],"mendeley":{"formattedCitation":"&lt;sup&gt;4&lt;/sup&gt;","plainTextFormattedCitation":"4","previouslyFormattedCitation":"&lt;sup&gt;4&lt;/sup&gt;"},"properties":{"noteIndex":0},"schema":"https://github.com/citation-style-language/schema/raw/master/csl-citation.json"}</w:instrText>
      </w:r>
      <w:r w:rsidRPr="002E1225">
        <w:fldChar w:fldCharType="separate"/>
      </w:r>
      <w:r w:rsidR="003227D2" w:rsidRPr="002E1225">
        <w:rPr>
          <w:noProof/>
          <w:vertAlign w:val="superscript"/>
        </w:rPr>
        <w:t>4</w:t>
      </w:r>
      <w:r w:rsidRPr="002E1225">
        <w:fldChar w:fldCharType="end"/>
      </w:r>
      <w:r w:rsidRPr="002E1225">
        <w:t xml:space="preserve"> </w:t>
      </w:r>
      <w:r w:rsidR="003319F3" w:rsidRPr="002E1225">
        <w:t xml:space="preserve">high-risk individuals (and potentially carers) live separately from the other household’s members in a designated “green zone” or room within the household, while specific IPC measures are applied to minimise their risk of becoming infected. Through a community-based governance mechanism, shielded </w:t>
      </w:r>
      <w:r w:rsidRPr="002E1225">
        <w:t xml:space="preserve">individuals are provided food, medical care, and water and sanitation services </w:t>
      </w:r>
      <w:r w:rsidR="003319F3" w:rsidRPr="002E1225">
        <w:t xml:space="preserve">and other relevant services (depending on local needs) </w:t>
      </w:r>
      <w:r w:rsidRPr="002E1225">
        <w:t>during the shielding period.</w:t>
      </w:r>
      <w:r w:rsidRPr="002E1225">
        <w:fldChar w:fldCharType="begin" w:fldLock="1"/>
      </w:r>
      <w:r w:rsidR="00EE6861" w:rsidRPr="002E1225">
        <w:instrText>ADDIN CSL_CITATION {"citationItems":[{"id":"ITEM-1","itemData":{"author":[{"dropping-particle":"","family":"Favas","given":"C.","non-dropping-particle":"","parse-names":false,"suffix":""},{"dropping-particle":"","family":"Checchi","given":"F.","non-dropping-particle":"","parse-names":false,"suffix":""},{"dropping-particle":"","family":"Waldman","given":"R. J.","non-dropping-particle":"","parse-names":false,"suffix":""}],"id":"ITEM-1","issued":{"date-parts":[["2020"]]},"title":"Guidance for the prevention of COVID-19 infections among high-risk individuals in urban settings","type":"report"},"uris":["http://www.mendeley.com/documents/?uuid=4290db6f-8e07-4166-87dd-294fe060027a"]}],"mendeley":{"formattedCitation":"&lt;sup&gt;4&lt;/sup&gt;","plainTextFormattedCitation":"4","previouslyFormattedCitation":"&lt;sup&gt;4&lt;/sup&gt;"},"properties":{"noteIndex":0},"schema":"https://github.com/citation-style-language/schema/raw/master/csl-citation.json"}</w:instrText>
      </w:r>
      <w:r w:rsidRPr="002E1225">
        <w:fldChar w:fldCharType="separate"/>
      </w:r>
      <w:r w:rsidR="003227D2" w:rsidRPr="002E1225">
        <w:rPr>
          <w:noProof/>
          <w:vertAlign w:val="superscript"/>
        </w:rPr>
        <w:t>4</w:t>
      </w:r>
      <w:r w:rsidRPr="002E1225">
        <w:fldChar w:fldCharType="end"/>
      </w:r>
    </w:p>
    <w:p w14:paraId="5519150A" w14:textId="1147BF6D" w:rsidR="000554E9" w:rsidRPr="002E1225" w:rsidRDefault="000554E9" w:rsidP="000554E9">
      <w:pPr>
        <w:pStyle w:val="Heading2"/>
      </w:pPr>
      <w:r w:rsidRPr="002E1225">
        <w:t>emerging evidence from lmic contexts</w:t>
      </w:r>
    </w:p>
    <w:p w14:paraId="2D5F11A4" w14:textId="0F45B106" w:rsidR="00A31675" w:rsidRPr="002E1225" w:rsidRDefault="0065073C" w:rsidP="00A31675">
      <w:r w:rsidRPr="002E1225">
        <w:t>Although most shielding at the time of writing has occurred in high-income countries,</w:t>
      </w:r>
      <w:r w:rsidRPr="002E1225">
        <w:fldChar w:fldCharType="begin" w:fldLock="1"/>
      </w:r>
      <w:r w:rsidR="00EE6861" w:rsidRPr="002E1225">
        <w:instrText>ADDIN CSL_CITATION {"citationItems":[{"id":"ITEM-1","itemData":{"container-title":"i24NEWS","id":"ITEM-1","issued":{"date-parts":[["2020","3","20"]]},"title":"Bennett: Isolating the elderly as nation develops herd immunity is key to defeating virus","type":"article-newspaper"},"uris":["http://www.mendeley.com/documents/?uuid=4e22ad94-279f-3e50-a3a8-60ea7522479f"]},{"id":"ITEM-2","itemData":{"URL":"https://www.israelhayom.com/2020/03/25/israeli-soldiers-new-frontier-delivering-food-to-grandma/","accessed":{"date-parts":[["2020","7","30"]]},"id":"ITEM-2","issued":{"date-parts":[["0"]]},"title":"Israeli soldiers' new frontier: Delivering food to grandma - www.israelhayom.com","type":"webpage"},"uris":["http://www.mendeley.com/documents/?uuid=9488e067-0223-37d5-b928-18fffe8d8fb5"]},{"id":"ITEM-3","itemData":{"DOI":"10.1101/2020.04.25.20079913","abstract":"Although population-wide lockdowns have been successful in slowing the COVID-19 epidemic, there is a consensus among disease modellers that keeping the load on critical care services within manageable limits will require an adaptive social distancing strategy, alternating cycles of relaxation and re-imposition until a vaccine is available. An alternative strategy that has been tentatively proposed is to shield the elderly and others at high risk of severe disease, while allowing immunity to build up in those at low risk until the entire population is protected. We examine the performance required from a classifier that uses information from medical records to assign risk status for a such a stratify-and-shield policy to be effective in limiting mortality when social distancing is relaxed. We show that under plausible assumptions about the level of immunity required for population-level immunity, the proportion shielded is constrained to be no more than 15% of the population. Under varying assumptions about the infection fatality ratio (from 0.1% to 0.4%) and the performance of the classifier (3 to 4.5 bits of information for discrimination), we calculate the expected number of deaths in the unshielded group. We show that with likely values of the performance of a classifier that uses information from age, sex and medical records, at least 80% of those who would die if unshielded would be allocated to the high-risk shielded group comprising 15% of the population. Although the proportion of deaths that would be prevented by effective shielding does not vary much with the infection fatality ratio, the absolute number of deaths in the unshielded varies from less than 10,000 if the infection fatality rate is 0.1% to more than 50,000 if the infection fatality rate is as high as 0.4%. For projecting the effect of an optimally applied stratify-and-shield policy, studies now under way should help to resolve key uncertainties: the extent to which infection confers immunity, the prevalence of immunity, the infection fatality ratio, and the performance of a classifier constructed using information from medical records. It is time to give serious consideration to a stratify-and-shield policy that could bring the COVID-19 epidemic to an end in a matter of months while restoring economic activity, avoiding overload of critical care services and limiting mortality.\n\n### Competing Interest Statement\n\nThe authors have declared no competing interest.\n\n### Funding Statemen…","author":[{"dropping-particle":"","family":"McKeigue","given":"Paul M.","non-dropping-particle":"","parse-names":false,"suffix":""},{"dropping-particle":"","family":"Colhoun","given":"Helen M","non-dropping-particle":"","parse-names":false,"suffix":""}],"container-title":"medRxiv","id":"ITEM-3","issued":{"date-parts":[["2020"]]},"page":"2020.04.25.20079913","title":"Evaluation of \"stratify and shield\" as a policy option for ending the COVID-19 lockdown in the UK","type":"article-journal"},"uris":["http://www.mendeley.com/documents/?uuid=579e7275-1faa-3d42-9b21-cdf53c069570"]}],"mendeley":{"formattedCitation":"&lt;sup&gt;5–7&lt;/sup&gt;","plainTextFormattedCitation":"5–7","previouslyFormattedCitation":"&lt;sup&gt;5–7&lt;/sup&gt;"},"properties":{"noteIndex":0},"schema":"https://github.com/citation-style-language/schema/raw/master/csl-citation.json"}</w:instrText>
      </w:r>
      <w:r w:rsidRPr="002E1225">
        <w:fldChar w:fldCharType="separate"/>
      </w:r>
      <w:r w:rsidR="003227D2" w:rsidRPr="002E1225">
        <w:rPr>
          <w:noProof/>
          <w:vertAlign w:val="superscript"/>
        </w:rPr>
        <w:t>5–7</w:t>
      </w:r>
      <w:r w:rsidRPr="002E1225">
        <w:fldChar w:fldCharType="end"/>
      </w:r>
      <w:r w:rsidRPr="002E1225">
        <w:t xml:space="preserve"> early evidence has begun to emerge from LMICs. Cases are presented below, based on acceptability studies from Sudan, the Democratic Republic of </w:t>
      </w:r>
      <w:r w:rsidR="00B051DC" w:rsidRPr="002E1225">
        <w:t xml:space="preserve">the </w:t>
      </w:r>
      <w:r w:rsidRPr="002E1225">
        <w:t>Congo (DRC) and Northwest Syria, and implementation evidence from parts of India, Yemen, and Ethiopia. There are significant practical obstacles to shielding in LMICs, where material and social support may be lacking or where households are large but housing space is limited. We review the newly emerging evidence to understand the experiences of those engaged in shielding interventions, and the implications of those experiences for shielding in LMICs more generally.</w:t>
      </w:r>
    </w:p>
    <w:p w14:paraId="36F4EEEF" w14:textId="2EF19F4B" w:rsidR="0065073C" w:rsidRPr="002E1225" w:rsidRDefault="0065073C" w:rsidP="0065073C">
      <w:pPr>
        <w:pStyle w:val="Heading3"/>
        <w:rPr>
          <w:lang w:val="en-GB"/>
        </w:rPr>
      </w:pPr>
      <w:r w:rsidRPr="002E1225">
        <w:rPr>
          <w:lang w:val="en-GB"/>
        </w:rPr>
        <w:t xml:space="preserve">Community Attitudes and </w:t>
      </w:r>
      <w:r w:rsidR="00043E7B" w:rsidRPr="002E1225">
        <w:rPr>
          <w:lang w:val="en-GB"/>
        </w:rPr>
        <w:t>Shielding Perceptions</w:t>
      </w:r>
      <w:r w:rsidRPr="002E1225">
        <w:rPr>
          <w:lang w:val="en-GB"/>
        </w:rPr>
        <w:t>: Sudan</w:t>
      </w:r>
    </w:p>
    <w:p w14:paraId="3DFB8F20" w14:textId="3D550605" w:rsidR="0065073C" w:rsidRPr="002E1225" w:rsidRDefault="0065073C" w:rsidP="0065073C">
      <w:r w:rsidRPr="002E1225">
        <w:t>Sudan recently relaxed its strict COVID-19 lockdown in an effort to mitigate its impact on the country’s existing economic crisis.</w:t>
      </w:r>
      <w:r w:rsidRPr="002E1225">
        <w:fldChar w:fldCharType="begin" w:fldLock="1"/>
      </w:r>
      <w:r w:rsidR="00EE6861" w:rsidRPr="002E1225">
        <w:instrText>ADDIN CSL_CITATION {"citationItems":[{"id":"ITEM-1","itemData":{"container-title":"Al-Jazeera","id":"ITEM-1","issued":{"date-parts":[["2020","7","8"]]},"title":"Sudan begins easing coronavirus lockdown measures","type":"article-newspaper"},"uris":["http://www.mendeley.com/documents/?uuid=c95f129a-c97d-3584-a1be-5b2336ae081b"]}],"mendeley":{"formattedCitation":"&lt;sup&gt;8&lt;/sup&gt;","plainTextFormattedCitation":"8","previouslyFormattedCitation":"&lt;sup&gt;8&lt;/sup&gt;"},"properties":{"noteIndex":0},"schema":"https://github.com/citation-style-language/schema/raw/master/csl-citation.json"}</w:instrText>
      </w:r>
      <w:r w:rsidRPr="002E1225">
        <w:fldChar w:fldCharType="separate"/>
      </w:r>
      <w:r w:rsidR="003227D2" w:rsidRPr="002E1225">
        <w:rPr>
          <w:noProof/>
          <w:vertAlign w:val="superscript"/>
        </w:rPr>
        <w:t>8</w:t>
      </w:r>
      <w:r w:rsidRPr="002E1225">
        <w:fldChar w:fldCharType="end"/>
      </w:r>
      <w:r w:rsidRPr="002E1225">
        <w:t xml:space="preserve"> In advance of this change, a qualitative research study was conducted to explore the acceptability and feasibility of shielding</w:t>
      </w:r>
      <w:r w:rsidR="004D101B" w:rsidRPr="002E1225">
        <w:t>. Preliminary findings are presented here</w:t>
      </w:r>
      <w:r w:rsidRPr="002E1225">
        <w:t>.</w:t>
      </w:r>
      <w:r w:rsidRPr="002E1225">
        <w:fldChar w:fldCharType="begin" w:fldLock="1"/>
      </w:r>
      <w:r w:rsidR="00EE6861" w:rsidRPr="002E1225">
        <w:instrText>ADDIN CSL_CITATION {"citationItems":[{"id":"ITEM-1","itemData":{"id":"ITEM-1","issued":{"date-parts":[["2020"]]},"title":"Shielding of high risk groups against COVID-19 infection risk in Sudan - a study of community acceptability and feasibility in Sudan","type":"report"},"uris":["http://www.mendeley.com/documents/?uuid=fbbf736c-8364-44ce-abe4-e28f6a5651b2"]}],"mendeley":{"formattedCitation":"&lt;sup&gt;9&lt;/sup&gt;","plainTextFormattedCitation":"9","previouslyFormattedCitation":"&lt;sup&gt;9&lt;/sup&gt;"},"properties":{"noteIndex":0},"schema":"https://github.com/citation-style-language/schema/raw/master/csl-citation.json"}</w:instrText>
      </w:r>
      <w:r w:rsidRPr="002E1225">
        <w:fldChar w:fldCharType="separate"/>
      </w:r>
      <w:r w:rsidR="003227D2" w:rsidRPr="002E1225">
        <w:rPr>
          <w:noProof/>
          <w:vertAlign w:val="superscript"/>
        </w:rPr>
        <w:t>9</w:t>
      </w:r>
      <w:r w:rsidRPr="002E1225">
        <w:fldChar w:fldCharType="end"/>
      </w:r>
      <w:r w:rsidRPr="002E1225">
        <w:t xml:space="preserve"> Participants were eligible for the study if at least one member of their household was at high risk of severe COVID-19 outcomes. Researchers found that </w:t>
      </w:r>
      <w:r w:rsidR="009A31A7" w:rsidRPr="002E1225">
        <w:t xml:space="preserve">risk perception of and </w:t>
      </w:r>
      <w:r w:rsidRPr="002E1225">
        <w:t xml:space="preserve">belief in COVID-19 varied within the group, with a majority believing that it existed and was a threat. Others felt COVID-19 did not exist or did not perceive it as an immediate risk to their health. Although there were misconceptions about what shielding entailed, the practice was deemed largely acceptable, as it matched </w:t>
      </w:r>
      <w:r w:rsidR="00B051DC" w:rsidRPr="002E1225">
        <w:t xml:space="preserve">a </w:t>
      </w:r>
      <w:r w:rsidRPr="002E1225">
        <w:t>cultural commitment to protecting older adults and the vulnerable.</w:t>
      </w:r>
      <w:r w:rsidRPr="002E1225">
        <w:fldChar w:fldCharType="begin" w:fldLock="1"/>
      </w:r>
      <w:r w:rsidR="00EE6861" w:rsidRPr="002E1225">
        <w:instrText>ADDIN CSL_CITATION {"citationItems":[{"id":"ITEM-1","itemData":{"id":"ITEM-1","issued":{"date-parts":[["2020"]]},"title":"Shielding of high risk groups against COVID-19 infection risk in Sudan - a study of community acceptability and feasibility in Sudan","type":"report"},"uris":["http://www.mendeley.com/documents/?uuid=fbbf736c-8364-44ce-abe4-e28f6a5651b2"]}],"mendeley":{"formattedCitation":"&lt;sup&gt;9&lt;/sup&gt;","plainTextFormattedCitation":"9","previouslyFormattedCitation":"&lt;sup&gt;9&lt;/sup&gt;"},"properties":{"noteIndex":0},"schema":"https://github.com/citation-style-language/schema/raw/master/csl-citation.json"}</w:instrText>
      </w:r>
      <w:r w:rsidRPr="002E1225">
        <w:fldChar w:fldCharType="separate"/>
      </w:r>
      <w:r w:rsidR="003227D2" w:rsidRPr="002E1225">
        <w:rPr>
          <w:noProof/>
          <w:vertAlign w:val="superscript"/>
        </w:rPr>
        <w:t>9</w:t>
      </w:r>
      <w:r w:rsidRPr="002E1225">
        <w:fldChar w:fldCharType="end"/>
      </w:r>
      <w:r w:rsidRPr="002E1225">
        <w:t xml:space="preserve">  </w:t>
      </w:r>
      <w:r w:rsidR="00850A44" w:rsidRPr="002E1225">
        <w:t xml:space="preserve">Shielding at the household level, e.g. </w:t>
      </w:r>
      <w:r w:rsidR="005B0BEA" w:rsidRPr="002E1225">
        <w:t>individuals</w:t>
      </w:r>
      <w:r w:rsidR="00850A44" w:rsidRPr="002E1225">
        <w:t xml:space="preserve"> at high-risk would shield in a dedicated room while other household members travel freely</w:t>
      </w:r>
      <w:r w:rsidRPr="002E1225">
        <w:t>, was considered highly acceptable and feasible, while moving vulnerable individuals to other households or community facilities was not</w:t>
      </w:r>
      <w:r w:rsidR="00737E92" w:rsidRPr="002E1225">
        <w:t xml:space="preserve"> widely acceptable</w:t>
      </w:r>
      <w:r w:rsidRPr="002E1225">
        <w:t>.</w:t>
      </w:r>
      <w:r w:rsidR="00737E92" w:rsidRPr="002E1225">
        <w:t xml:space="preserve"> Alternatively, delegating one person to leave the house and be responsible for all extra-household activities was also deemed acceptable. That designated person would live separately at home, allowing other vulnerable persons and family members to move freely within the house.</w:t>
      </w:r>
      <w:r w:rsidR="0093462D" w:rsidRPr="002E1225">
        <w:t xml:space="preserve"> </w:t>
      </w:r>
      <w:r w:rsidRPr="002E1225">
        <w:t>Key recommendations for shielding from the study included:</w:t>
      </w:r>
    </w:p>
    <w:p w14:paraId="76AE8AAD" w14:textId="77777777" w:rsidR="0065073C" w:rsidRPr="002E1225" w:rsidRDefault="0065073C" w:rsidP="0065073C">
      <w:pPr>
        <w:pStyle w:val="ListParagraph"/>
        <w:rPr>
          <w:lang w:val="en-GB"/>
        </w:rPr>
      </w:pPr>
      <w:r w:rsidRPr="002E1225">
        <w:rPr>
          <w:lang w:val="en-GB"/>
        </w:rPr>
        <w:t>Involve the community as much as possible, throughout all stages of shielding.</w:t>
      </w:r>
    </w:p>
    <w:p w14:paraId="3CA70193" w14:textId="2F65331A" w:rsidR="0065073C" w:rsidRPr="002E1225" w:rsidRDefault="00B051DC" w:rsidP="0065073C">
      <w:pPr>
        <w:pStyle w:val="ListParagraph"/>
        <w:rPr>
          <w:lang w:val="en-GB"/>
        </w:rPr>
      </w:pPr>
      <w:r w:rsidRPr="002E1225">
        <w:rPr>
          <w:lang w:val="en-GB"/>
        </w:rPr>
        <w:t>Develop s</w:t>
      </w:r>
      <w:r w:rsidR="0065073C" w:rsidRPr="002E1225">
        <w:rPr>
          <w:lang w:val="en-GB"/>
        </w:rPr>
        <w:t xml:space="preserve">trategies to communicate risks associated with COVID-19 </w:t>
      </w:r>
      <w:r w:rsidRPr="002E1225">
        <w:rPr>
          <w:lang w:val="en-GB"/>
        </w:rPr>
        <w:t xml:space="preserve">that do </w:t>
      </w:r>
      <w:r w:rsidR="0065073C" w:rsidRPr="002E1225">
        <w:rPr>
          <w:lang w:val="en-GB"/>
        </w:rPr>
        <w:t>not impart fear, and include tailored messages for those who deny the existence of the disease.</w:t>
      </w:r>
    </w:p>
    <w:p w14:paraId="6DF4485B" w14:textId="77777777" w:rsidR="0065073C" w:rsidRPr="002E1225" w:rsidRDefault="0065073C" w:rsidP="0065073C">
      <w:pPr>
        <w:pStyle w:val="ListParagraph"/>
        <w:rPr>
          <w:lang w:val="en-GB"/>
        </w:rPr>
      </w:pPr>
      <w:r w:rsidRPr="002E1225">
        <w:rPr>
          <w:lang w:val="en-GB"/>
        </w:rPr>
        <w:t>Promote concrete and practical ways to shield, making sure the</w:t>
      </w:r>
      <w:r w:rsidRPr="002E1225" w:rsidDel="00451E74">
        <w:rPr>
          <w:lang w:val="en-GB"/>
        </w:rPr>
        <w:t xml:space="preserve"> </w:t>
      </w:r>
      <w:r w:rsidRPr="002E1225">
        <w:rPr>
          <w:lang w:val="en-GB"/>
        </w:rPr>
        <w:t>difference between shielding and quarantine is clearly communicated.</w:t>
      </w:r>
    </w:p>
    <w:p w14:paraId="4F88B0BC" w14:textId="0EE60E6F" w:rsidR="0065073C" w:rsidRPr="002E1225" w:rsidRDefault="0065073C" w:rsidP="0065073C">
      <w:pPr>
        <w:pStyle w:val="ListParagraph"/>
        <w:rPr>
          <w:lang w:val="en-GB"/>
        </w:rPr>
      </w:pPr>
      <w:r w:rsidRPr="002E1225">
        <w:rPr>
          <w:lang w:val="en-GB"/>
        </w:rPr>
        <w:t xml:space="preserve">Provide alternative options for shielding when </w:t>
      </w:r>
      <w:r w:rsidR="000317F8" w:rsidRPr="002E1225">
        <w:rPr>
          <w:lang w:val="en-GB"/>
        </w:rPr>
        <w:t>household-level shielding</w:t>
      </w:r>
      <w:r w:rsidRPr="002E1225">
        <w:rPr>
          <w:lang w:val="en-GB"/>
        </w:rPr>
        <w:t xml:space="preserve"> is deemed acceptable but not feasible due to physical space or economic constraints. For example, an alternative option might be to shield with extended family if there is not space within the immediate family’s home. </w:t>
      </w:r>
    </w:p>
    <w:p w14:paraId="6896DB25" w14:textId="759D1E9A" w:rsidR="00183C29" w:rsidRPr="002E1225" w:rsidRDefault="0065073C" w:rsidP="00544374">
      <w:pPr>
        <w:pStyle w:val="ListParagraph"/>
        <w:rPr>
          <w:lang w:val="en-GB"/>
        </w:rPr>
      </w:pPr>
      <w:r w:rsidRPr="002E1225">
        <w:rPr>
          <w:lang w:val="en-GB"/>
        </w:rPr>
        <w:t>Provide financial and social support to the shielded individuals and their households.</w:t>
      </w:r>
      <w:r w:rsidR="00183C29" w:rsidRPr="002E1225">
        <w:rPr>
          <w:lang w:val="en-GB"/>
        </w:rPr>
        <w:t xml:space="preserve"> Ensure the ability to continue service provision, including access to health care, remote health worker consultation, access to food and nutritional needs, and so on, so as to “do no harm” through shielding</w:t>
      </w:r>
      <w:r w:rsidR="00544374" w:rsidRPr="002E1225">
        <w:rPr>
          <w:lang w:val="en-GB"/>
        </w:rPr>
        <w:t>.</w:t>
      </w:r>
    </w:p>
    <w:p w14:paraId="27ABFE0C" w14:textId="466DB036" w:rsidR="00544374" w:rsidRPr="002E1225" w:rsidRDefault="00544374" w:rsidP="00544374">
      <w:pPr>
        <w:pStyle w:val="ListParagraph"/>
        <w:rPr>
          <w:lang w:val="en-GB"/>
        </w:rPr>
      </w:pPr>
      <w:r w:rsidRPr="002E1225">
        <w:rPr>
          <w:lang w:val="en-GB"/>
        </w:rPr>
        <w:t xml:space="preserve">Establish referral and accountability mechanisms to </w:t>
      </w:r>
      <w:r w:rsidR="00555172" w:rsidRPr="002E1225">
        <w:rPr>
          <w:lang w:val="en-GB"/>
        </w:rPr>
        <w:t>alert local health systems of COVID-19 systems and link the symptomatic individual to care.</w:t>
      </w:r>
    </w:p>
    <w:p w14:paraId="3EEE0E0E" w14:textId="77777777" w:rsidR="0065073C" w:rsidRPr="002E1225" w:rsidRDefault="0065073C" w:rsidP="0065073C">
      <w:pPr>
        <w:pStyle w:val="Heading3"/>
        <w:rPr>
          <w:lang w:val="en-GB"/>
        </w:rPr>
      </w:pPr>
      <w:r w:rsidRPr="002E1225">
        <w:rPr>
          <w:lang w:val="en-GB"/>
        </w:rPr>
        <w:t>Community Attitudes and Shielding Perceptions: Democratic Republic of the Congo (DRC)</w:t>
      </w:r>
    </w:p>
    <w:p w14:paraId="4D9E0E05" w14:textId="087F9255" w:rsidR="0065073C" w:rsidRPr="002E1225" w:rsidRDefault="0065073C" w:rsidP="0065073C">
      <w:r w:rsidRPr="002E1225">
        <w:t>Two studies have be</w:t>
      </w:r>
      <w:r w:rsidR="00B051DC" w:rsidRPr="002E1225">
        <w:t>en</w:t>
      </w:r>
      <w:r w:rsidRPr="002E1225">
        <w:t xml:space="preserve"> published on shielding in DRC.</w:t>
      </w:r>
      <w:r w:rsidRPr="002E1225">
        <w:fldChar w:fldCharType="begin" w:fldLock="1"/>
      </w:r>
      <w:r w:rsidR="00EE6861" w:rsidRPr="002E1225">
        <w:instrText>ADDIN CSL_CITATION {"citationItems":[{"id":"ITEM-1","itemData":{"id":"ITEM-1","issued":{"date-parts":[["2020"]]},"title":"Analyse protection a base communautaire en lien avec la pandémie de COVID-19: Ville et Commune de Goma, Quartier de Kahembe","type":"report"},"uris":["http://www.mendeley.com/documents/?uuid=2f9fe9f7-02f4-4fec-b12d-dd6a49eb4f06"]},{"id":"ITEM-2","itemData":{"id":"ITEM-2","issued":{"date-parts":[["2020"]]},"title":"Analyse protection a base communautaire en lien avec la pandémie du coronavirus: Quartier de Mikelenge, Ville de Kindu, Province du Maniema","type":"report"},"uris":["http://www.mendeley.com/documents/?uuid=4efa5f9d-a675-4d11-a305-f3912c12ffe5"]},{"id":"ITEM-3","itemData":{"id":"ITEM-3","issued":{"date-parts":[["2020"]]},"title":"Perceptions &amp; comportements de mesures de barrieres enguete a Goma","type":"report"},"uris":["http://www.mendeley.com/documents/?uuid=39ce6e16-49ed-41f3-8390-fcb0c0b066ff"]},{"id":"ITEM-4","itemData":{"id":"ITEM-4","issued":{"date-parts":[["2020"]]},"title":"Analyse protection a base communautaire en lien avec la pandémie du coronavirus: Site de déplacé(e)s ISP, Quartier de Muzipela, Ville de Bunia, Province de l'Ituri","type":"report"},"uris":["http://www.mendeley.com/documents/?uuid=c1f5c17b-8646-410a-85a6-184596a4145c"]},{"id":"ITEM-5","itemData":{"id":"ITEM-5","issued":{"date-parts":[["0"]]},"title":"Analyse protection a base communautaire en lien avec la pandémie du coronavirus: Quartier de Ndosho, Ville de Goma, Province du Nord Kivu","type":"report"},"uris":["http://www.mendeley.com/documents/?uuid=711dbd93-01e1-467a-8a54-78f0d15f9936"]}],"mendeley":{"formattedCitation":"&lt;sup&gt;10–14&lt;/sup&gt;","plainTextFormattedCitation":"10–14","previouslyFormattedCitation":"&lt;sup&gt;10–14&lt;/sup&gt;"},"properties":{"noteIndex":0},"schema":"https://github.com/citation-style-language/schema/raw/master/csl-citation.json"}</w:instrText>
      </w:r>
      <w:r w:rsidRPr="002E1225">
        <w:fldChar w:fldCharType="separate"/>
      </w:r>
      <w:r w:rsidR="003227D2" w:rsidRPr="002E1225">
        <w:rPr>
          <w:noProof/>
          <w:vertAlign w:val="superscript"/>
        </w:rPr>
        <w:t>10–14</w:t>
      </w:r>
      <w:r w:rsidRPr="002E1225">
        <w:fldChar w:fldCharType="end"/>
      </w:r>
      <w:r w:rsidRPr="002E1225">
        <w:t xml:space="preserve"> Shielding was evaluated as part of a broader study to understand perceptions of COVID-19 and barriers to prevention and control measures in Goma, DRC.</w:t>
      </w:r>
      <w:r w:rsidRPr="002E1225">
        <w:fldChar w:fldCharType="begin" w:fldLock="1"/>
      </w:r>
      <w:r w:rsidR="00EE6861" w:rsidRPr="002E1225">
        <w:instrText>ADDIN CSL_CITATION {"citationItems":[{"id":"ITEM-1","itemData":{"id":"ITEM-1","issued":{"date-parts":[["2020"]]},"title":"Perceptions &amp; comportements de mesures de barrieres enguete a Goma","type":"report"},"uris":["http://www.mendeley.com/documents/?uuid=39ce6e16-49ed-41f3-8390-fcb0c0b066ff"]}],"mendeley":{"formattedCitation":"&lt;sup&gt;12&lt;/sup&gt;","plainTextFormattedCitation":"12","previouslyFormattedCitation":"&lt;sup&gt;12&lt;/sup&gt;"},"properties":{"noteIndex":0},"schema":"https://github.com/citation-style-language/schema/raw/master/csl-citation.json"}</w:instrText>
      </w:r>
      <w:r w:rsidRPr="002E1225">
        <w:fldChar w:fldCharType="separate"/>
      </w:r>
      <w:r w:rsidR="003227D2" w:rsidRPr="002E1225">
        <w:rPr>
          <w:noProof/>
          <w:vertAlign w:val="superscript"/>
        </w:rPr>
        <w:t>12</w:t>
      </w:r>
      <w:r w:rsidRPr="002E1225">
        <w:fldChar w:fldCharType="end"/>
      </w:r>
      <w:r w:rsidRPr="002E1225">
        <w:t xml:space="preserve">  Participants often confused shielding </w:t>
      </w:r>
      <w:r w:rsidR="00C2246B" w:rsidRPr="002E1225">
        <w:t>(‘</w:t>
      </w:r>
      <w:r w:rsidR="00C2246B" w:rsidRPr="002E1225">
        <w:rPr>
          <w:i/>
        </w:rPr>
        <w:t>quarantaine des personnes à haut risque’</w:t>
      </w:r>
      <w:r w:rsidR="00C2246B" w:rsidRPr="002E1225">
        <w:t xml:space="preserve">) </w:t>
      </w:r>
      <w:r w:rsidRPr="002E1225">
        <w:t>with quarantine or isolation, and more information was needed to distinguish between these</w:t>
      </w:r>
      <w:r w:rsidR="00C2246B" w:rsidRPr="002E1225">
        <w:t xml:space="preserve"> measures</w:t>
      </w:r>
      <w:r w:rsidRPr="002E1225">
        <w:t>. Half of the participants felt capable of protecting (shielding) a vulnerable family member, and 22% perceived shielding as a key preventive measure. Participants raised practical concerns about shielding, due to lack of sufficient space in the household</w:t>
      </w:r>
      <w:r w:rsidRPr="002E1225">
        <w:fldChar w:fldCharType="begin" w:fldLock="1"/>
      </w:r>
      <w:r w:rsidR="00EE6861" w:rsidRPr="002E1225">
        <w:instrText>ADDIN CSL_CITATION {"citationItems":[{"id":"ITEM-1","itemData":{"id":"ITEM-1","issued":{"date-parts":[["2020"]]},"title":"Perceptions &amp; comportements de mesures de barrieres enguete a Goma","type":"report"},"uris":["http://www.mendeley.com/documents/?uuid=39ce6e16-49ed-41f3-8390-fcb0c0b066ff"]}],"mendeley":{"formattedCitation":"&lt;sup&gt;12&lt;/sup&gt;","plainTextFormattedCitation":"12","previouslyFormattedCitation":"&lt;sup&gt;12&lt;/sup&gt;"},"properties":{"noteIndex":0},"schema":"https://github.com/citation-style-language/schema/raw/master/csl-citation.json"}</w:instrText>
      </w:r>
      <w:r w:rsidRPr="002E1225">
        <w:fldChar w:fldCharType="separate"/>
      </w:r>
      <w:r w:rsidR="003227D2" w:rsidRPr="002E1225">
        <w:rPr>
          <w:noProof/>
          <w:vertAlign w:val="superscript"/>
        </w:rPr>
        <w:t>12</w:t>
      </w:r>
      <w:r w:rsidRPr="002E1225">
        <w:fldChar w:fldCharType="end"/>
      </w:r>
      <w:r w:rsidRPr="002E1225">
        <w:t xml:space="preserve"> and the need for provision of basic items such food, water, and IPC materials.  Perceived risk of COVID-19 was low, except among those with an underlying medical condition</w:t>
      </w:r>
      <w:r w:rsidR="00CB4845" w:rsidRPr="002E1225">
        <w:t xml:space="preserve">. Further, study participants reported </w:t>
      </w:r>
      <w:r w:rsidRPr="002E1225">
        <w:t>a need for more information on COVID-19 risks and on shielding.  Acceptability of the concept of shielding vulnerable individuals outside the household (i.e., in a group facility) was low (34%); individuals cited social unacceptability and an elevated risk of COVID-19 for the shielded.</w:t>
      </w:r>
      <w:r w:rsidRPr="002E1225">
        <w:fldChar w:fldCharType="begin" w:fldLock="1"/>
      </w:r>
      <w:r w:rsidR="00EE6861" w:rsidRPr="002E1225">
        <w:instrText>ADDIN CSL_CITATION {"citationItems":[{"id":"ITEM-1","itemData":{"id":"ITEM-1","issued":{"date-parts":[["2020"]]},"title":"Perceptions &amp; comportements de mesures de barrieres enguete a Goma","type":"report"},"uris":["http://www.mendeley.com/documents/?uuid=39ce6e16-49ed-41f3-8390-fcb0c0b066ff"]}],"mendeley":{"formattedCitation":"&lt;sup&gt;12&lt;/sup&gt;","plainTextFormattedCitation":"12","previouslyFormattedCitation":"&lt;sup&gt;12&lt;/sup&gt;"},"properties":{"noteIndex":0},"schema":"https://github.com/citation-style-language/schema/raw/master/csl-citation.json"}</w:instrText>
      </w:r>
      <w:r w:rsidRPr="002E1225">
        <w:fldChar w:fldCharType="separate"/>
      </w:r>
      <w:r w:rsidR="003227D2" w:rsidRPr="002E1225">
        <w:rPr>
          <w:noProof/>
          <w:vertAlign w:val="superscript"/>
        </w:rPr>
        <w:t>12</w:t>
      </w:r>
      <w:r w:rsidRPr="002E1225">
        <w:fldChar w:fldCharType="end"/>
      </w:r>
    </w:p>
    <w:p w14:paraId="438CB4FA" w14:textId="6E7DD446" w:rsidR="0065073C" w:rsidRPr="002E1225" w:rsidRDefault="0065073C" w:rsidP="0065073C">
      <w:r w:rsidRPr="002E1225">
        <w:t>A shielding perception study</w:t>
      </w:r>
      <w:r w:rsidRPr="002E1225">
        <w:fldChar w:fldCharType="begin" w:fldLock="1"/>
      </w:r>
      <w:r w:rsidR="00EE6861" w:rsidRPr="002E1225">
        <w:instrText>ADDIN CSL_CITATION {"citationItems":[{"id":"ITEM-1","itemData":{"id":"ITEM-1","issued":{"date-parts":[["2020"]]},"title":"Analyse protection a base communautaire en lien avec la pandémie de COVID-19: Ville et Commune de Goma, Quartier de Kahembe","type":"report"},"uris":["http://www.mendeley.com/documents/?uuid=2f9fe9f7-02f4-4fec-b12d-dd6a49eb4f06"]},{"id":"ITEM-2","itemData":{"id":"ITEM-2","issued":{"date-parts":[["2020"]]},"title":"Analyse protection a base communautaire en lien avec la pandémie du coronavirus: Quartier de Mikelenge, Ville de Kindu, Province du Maniema","type":"report"},"uris":["http://www.mendeley.com/documents/?uuid=4efa5f9d-a675-4d11-a305-f3912c12ffe5"]},{"id":"ITEM-3","itemData":{"id":"ITEM-3","issued":{"date-parts":[["2020"]]},"title":"Analyse protection a base communautaire en lien avec la pandémie du coronavirus: Site de déplacé(e)s ISP, Quartier de Muzipela, Ville de Bunia, Province de l'Ituri","type":"report"},"uris":["http://www.mendeley.com/documents/?uuid=c1f5c17b-8646-410a-85a6-184596a4145c"]},{"id":"ITEM-4","itemData":{"id":"ITEM-4","issued":{"date-parts":[["0"]]},"title":"Analyse protection a base communautaire en lien avec la pandémie du coronavirus: Quartier de Ndosho, Ville de Goma, Province du Nord Kivu","type":"report"},"uris":["http://www.mendeley.com/documents/?uuid=711dbd93-01e1-467a-8a54-78f0d15f9936"]}],"mendeley":{"formattedCitation":"&lt;sup&gt;10, 11, 13, 14&lt;/sup&gt;","plainTextFormattedCitation":"10, 11, 13, 14","previouslyFormattedCitation":"&lt;sup&gt;10, 11, 13, 14&lt;/sup&gt;"},"properties":{"noteIndex":0},"schema":"https://github.com/citation-style-language/schema/raw/master/csl-citation.json"}</w:instrText>
      </w:r>
      <w:r w:rsidRPr="002E1225">
        <w:fldChar w:fldCharType="separate"/>
      </w:r>
      <w:r w:rsidR="003227D2" w:rsidRPr="002E1225">
        <w:rPr>
          <w:noProof/>
          <w:vertAlign w:val="superscript"/>
        </w:rPr>
        <w:t>10, 11, 13, 14</w:t>
      </w:r>
      <w:r w:rsidRPr="002E1225">
        <w:fldChar w:fldCharType="end"/>
      </w:r>
      <w:r w:rsidRPr="002E1225">
        <w:t xml:space="preserve"> across five areas in DRC included a case study of internally-displaced persons in Bunia, Ituri Province. Nearly all (96%) of </w:t>
      </w:r>
      <w:r w:rsidR="00D7607F" w:rsidRPr="002E1225">
        <w:t xml:space="preserve">the </w:t>
      </w:r>
      <w:r w:rsidRPr="002E1225">
        <w:t>participants reported major difficulties finding space to shield due to overcrowded conditions and lack of access to water, sanitation and hygiene (WASH) facilities.</w:t>
      </w:r>
      <w:r w:rsidRPr="002E1225">
        <w:fldChar w:fldCharType="begin" w:fldLock="1"/>
      </w:r>
      <w:r w:rsidR="00EE6861" w:rsidRPr="002E1225">
        <w:instrText>ADDIN CSL_CITATION {"citationItems":[{"id":"ITEM-1","itemData":{"id":"ITEM-1","issued":{"date-parts":[["2020"]]},"title":"Analyse protection a base communautaire en lien avec la pandémie du coronavirus: Site de déplacé(e)s ISP, Quartier de Muzipela, Ville de Bunia, Province de l'Ituri","type":"report"},"uris":["http://www.mendeley.com/documents/?uuid=c1f5c17b-8646-410a-85a6-184596a4145c"]}],"mendeley":{"formattedCitation":"&lt;sup&gt;13&lt;/sup&gt;","plainTextFormattedCitation":"13","previouslyFormattedCitation":"&lt;sup&gt;13&lt;/sup&gt;"},"properties":{"noteIndex":0},"schema":"https://github.com/citation-style-language/schema/raw/master/csl-citation.json"}</w:instrText>
      </w:r>
      <w:r w:rsidRPr="002E1225">
        <w:fldChar w:fldCharType="separate"/>
      </w:r>
      <w:r w:rsidR="003227D2" w:rsidRPr="002E1225">
        <w:rPr>
          <w:noProof/>
          <w:vertAlign w:val="superscript"/>
        </w:rPr>
        <w:t>13</w:t>
      </w:r>
      <w:r w:rsidRPr="002E1225">
        <w:fldChar w:fldCharType="end"/>
      </w:r>
      <w:r w:rsidRPr="002E1225">
        <w:t xml:space="preserve"> Shielding (‘</w:t>
      </w:r>
      <w:r w:rsidRPr="002E1225">
        <w:rPr>
          <w:i/>
        </w:rPr>
        <w:t>confinement préventif’)</w:t>
      </w:r>
      <w:r w:rsidRPr="002E1225">
        <w:t xml:space="preserve"> would be acceptable if basic needs were met and private and safe spaces were available. Participants also highlighted the need to communicate with loved ones while shielding. Community members identified several strategies to protect the most vulnerable, including provision of hygiene supplies and access to additional shelter for each household. Evidence from DRC suggests that:</w:t>
      </w:r>
    </w:p>
    <w:p w14:paraId="306CD36D" w14:textId="59F7CF51" w:rsidR="00AA3A71" w:rsidRPr="002E1225" w:rsidRDefault="00AA3A71" w:rsidP="0065073C">
      <w:pPr>
        <w:pStyle w:val="ListParagraph"/>
        <w:rPr>
          <w:lang w:val="en-GB"/>
        </w:rPr>
      </w:pPr>
      <w:r w:rsidRPr="002E1225">
        <w:rPr>
          <w:lang w:val="en-GB"/>
        </w:rPr>
        <w:t>Appropriate risk communication messaging can be used to improve public understanding of COVID-19 risk and the specific risks for the clinically vulnerable.</w:t>
      </w:r>
    </w:p>
    <w:p w14:paraId="0807A886" w14:textId="6F56F226" w:rsidR="0065073C" w:rsidRPr="002E1225" w:rsidRDefault="0065073C" w:rsidP="0065073C">
      <w:pPr>
        <w:pStyle w:val="ListParagraph"/>
        <w:rPr>
          <w:lang w:val="en-GB"/>
        </w:rPr>
      </w:pPr>
      <w:r w:rsidRPr="002E1225">
        <w:rPr>
          <w:lang w:val="en-GB"/>
        </w:rPr>
        <w:t>Shielding is acceptable if kept within the household or family unit</w:t>
      </w:r>
      <w:r w:rsidR="00D7607F" w:rsidRPr="002E1225">
        <w:rPr>
          <w:lang w:val="en-GB"/>
        </w:rPr>
        <w:t xml:space="preserve">; </w:t>
      </w:r>
      <w:r w:rsidRPr="002E1225">
        <w:rPr>
          <w:lang w:val="en-GB"/>
        </w:rPr>
        <w:t xml:space="preserve">shielding in group-based facilities </w:t>
      </w:r>
      <w:r w:rsidR="00D7607F" w:rsidRPr="002E1225">
        <w:rPr>
          <w:lang w:val="en-GB"/>
        </w:rPr>
        <w:t xml:space="preserve">is less likely to be </w:t>
      </w:r>
      <w:r w:rsidRPr="002E1225">
        <w:rPr>
          <w:lang w:val="en-GB"/>
        </w:rPr>
        <w:t>acceptable.</w:t>
      </w:r>
    </w:p>
    <w:p w14:paraId="28D8DE05" w14:textId="75947B8F" w:rsidR="0065073C" w:rsidRPr="002E1225" w:rsidRDefault="0065073C" w:rsidP="0065073C">
      <w:pPr>
        <w:pStyle w:val="ListParagraph"/>
        <w:rPr>
          <w:lang w:val="en-GB"/>
        </w:rPr>
      </w:pPr>
      <w:r w:rsidRPr="002E1225">
        <w:rPr>
          <w:lang w:val="en-GB"/>
        </w:rPr>
        <w:t>Practical challenges to shielding need to be addressed. Community partners can be engaged to co-design locally appropriate strategies</w:t>
      </w:r>
      <w:r w:rsidR="00D24D41" w:rsidRPr="002E1225">
        <w:rPr>
          <w:lang w:val="en-GB"/>
        </w:rPr>
        <w:t>,</w:t>
      </w:r>
      <w:r w:rsidRPr="002E1225">
        <w:rPr>
          <w:lang w:val="en-GB"/>
        </w:rPr>
        <w:t xml:space="preserve"> find acceptable space</w:t>
      </w:r>
      <w:r w:rsidR="00D24D41" w:rsidRPr="002E1225">
        <w:rPr>
          <w:lang w:val="en-GB"/>
        </w:rPr>
        <w:t>,</w:t>
      </w:r>
      <w:r w:rsidRPr="002E1225">
        <w:rPr>
          <w:lang w:val="en-GB"/>
        </w:rPr>
        <w:t xml:space="preserve"> and leverage existing informal or formal socioeconomic support systems</w:t>
      </w:r>
      <w:r w:rsidR="00D24D41" w:rsidRPr="002E1225">
        <w:rPr>
          <w:lang w:val="en-GB"/>
        </w:rPr>
        <w:t xml:space="preserve"> to ensure that basic needs are met</w:t>
      </w:r>
      <w:r w:rsidRPr="002E1225">
        <w:rPr>
          <w:lang w:val="en-GB"/>
        </w:rPr>
        <w:t>.</w:t>
      </w:r>
    </w:p>
    <w:p w14:paraId="22CA2848" w14:textId="77777777" w:rsidR="0065073C" w:rsidRPr="002E1225" w:rsidRDefault="0065073C" w:rsidP="0065073C">
      <w:pPr>
        <w:pStyle w:val="Heading3"/>
        <w:rPr>
          <w:lang w:val="en-GB"/>
        </w:rPr>
      </w:pPr>
      <w:r w:rsidRPr="002E1225">
        <w:rPr>
          <w:lang w:val="en-GB"/>
        </w:rPr>
        <w:t>Shielding displaced people:  Northwest Syria</w:t>
      </w:r>
    </w:p>
    <w:p w14:paraId="40780A0E" w14:textId="162D9D12" w:rsidR="0065073C" w:rsidRPr="002E1225" w:rsidRDefault="00C33AA2" w:rsidP="0065073C">
      <w:r w:rsidRPr="002E1225">
        <w:t>Initial responses to COVID</w:t>
      </w:r>
      <w:r w:rsidR="00D36A94" w:rsidRPr="002E1225">
        <w:t>-</w:t>
      </w:r>
      <w:r w:rsidRPr="002E1225">
        <w:t xml:space="preserve">19 </w:t>
      </w:r>
      <w:r w:rsidR="00E34A5D" w:rsidRPr="002E1225">
        <w:t>research in Northwest Syria (Idlib Province) included exploration of factors related to the acceptability of shielding. E</w:t>
      </w:r>
      <w:r w:rsidR="0065073C" w:rsidRPr="002E1225">
        <w:t xml:space="preserve">vidence from </w:t>
      </w:r>
      <w:r w:rsidR="006F64E0" w:rsidRPr="002E1225">
        <w:t>that research</w:t>
      </w:r>
      <w:r w:rsidR="0065073C" w:rsidRPr="002E1225">
        <w:t xml:space="preserve"> provided key considerations for shielding in the context of internally-displaced person (IDP) camps.  </w:t>
      </w:r>
    </w:p>
    <w:p w14:paraId="5851FA9E" w14:textId="181E290D" w:rsidR="0065073C" w:rsidRPr="002E1225" w:rsidRDefault="00C108A7" w:rsidP="0065073C">
      <w:r w:rsidRPr="002E1225">
        <w:t>The research</w:t>
      </w:r>
      <w:r w:rsidR="0065073C" w:rsidRPr="002E1225">
        <w:t xml:space="preserve"> </w:t>
      </w:r>
      <w:r w:rsidRPr="002E1225">
        <w:t xml:space="preserve">suggested that </w:t>
      </w:r>
      <w:r w:rsidR="0065073C" w:rsidRPr="002E1225">
        <w:t>different shielding strategies may be needed for informal and formal IDP camps. Most camps in the study area were informal</w:t>
      </w:r>
      <w:r w:rsidR="00C33AA2" w:rsidRPr="002E1225">
        <w:t xml:space="preserve"> </w:t>
      </w:r>
      <w:r w:rsidR="0065073C" w:rsidRPr="002E1225">
        <w:t xml:space="preserve">with a lack of adequate shelter or WASH. Shelter consists of tents, both larger and smaller, and inadequate space for shielding within the shelter is a major concern. </w:t>
      </w:r>
      <w:r w:rsidR="00D770E5" w:rsidRPr="002E1225">
        <w:t xml:space="preserve">Shielding within an informal camp would be logistically challenging. </w:t>
      </w:r>
      <w:r w:rsidR="0065073C" w:rsidRPr="002E1225">
        <w:t>Health professionals suggested that one possible way to shield would be to establish a separate isolation camp for shielded individuals. However, community acceptability of this approach is likely to be low</w:t>
      </w:r>
      <w:r w:rsidR="00511CD7" w:rsidRPr="002E1225">
        <w:t>. Also, this can be implemented within formal camps mostly, while it is likely to be challenging within informal dispersed camps that have little control over who goes in or out</w:t>
      </w:r>
      <w:r w:rsidR="00D36A94" w:rsidRPr="002E1225">
        <w:t xml:space="preserve">. </w:t>
      </w:r>
      <w:r w:rsidR="00E1566C" w:rsidRPr="002E1225">
        <w:t>Researchers also noted that</w:t>
      </w:r>
      <w:r w:rsidR="0065073C" w:rsidRPr="002E1225">
        <w:t xml:space="preserve"> IDPs have experienced multiple </w:t>
      </w:r>
      <w:r w:rsidR="00511CD7" w:rsidRPr="002E1225">
        <w:t>forced displacements due to the conflict</w:t>
      </w:r>
      <w:r w:rsidR="0065073C" w:rsidRPr="002E1225">
        <w:t xml:space="preserve">.  </w:t>
      </w:r>
      <w:r w:rsidR="00BE4FC2" w:rsidRPr="002E1225">
        <w:t>Applying some COVID</w:t>
      </w:r>
      <w:r w:rsidR="00D36A94" w:rsidRPr="002E1225">
        <w:t>-</w:t>
      </w:r>
      <w:r w:rsidR="00BE4FC2" w:rsidRPr="002E1225">
        <w:t>19 prevention measures such as m</w:t>
      </w:r>
      <w:r w:rsidR="0065073C" w:rsidRPr="002E1225">
        <w:t>ovement restrictions</w:t>
      </w:r>
      <w:r w:rsidR="00BE4FC2" w:rsidRPr="002E1225">
        <w:t xml:space="preserve"> might cause lack of control over their own livelihoods and </w:t>
      </w:r>
      <w:r w:rsidR="0065073C" w:rsidRPr="002E1225">
        <w:t>increase existing feelings of marginalisation and lack of agency. Within this context, attempts to shield may be perceived negatively</w:t>
      </w:r>
      <w:r w:rsidR="00BE4FC2" w:rsidRPr="002E1225">
        <w:t xml:space="preserve"> as well</w:t>
      </w:r>
      <w:r w:rsidR="0065073C" w:rsidRPr="002E1225">
        <w:t>.</w:t>
      </w:r>
    </w:p>
    <w:p w14:paraId="5C0863BA" w14:textId="5C8EB799" w:rsidR="0065073C" w:rsidRPr="002E1225" w:rsidRDefault="0065073C" w:rsidP="0065073C">
      <w:r w:rsidRPr="002E1225">
        <w:t xml:space="preserve">The Idlib area is currently controlled by </w:t>
      </w:r>
      <w:r w:rsidR="00C371FA" w:rsidRPr="002E1225">
        <w:t>opposition forces including several armed</w:t>
      </w:r>
      <w:r w:rsidR="00000996" w:rsidRPr="002E1225">
        <w:t xml:space="preserve"> </w:t>
      </w:r>
      <w:r w:rsidR="00D36A94" w:rsidRPr="002E1225">
        <w:t>groups</w:t>
      </w:r>
      <w:r w:rsidR="00000996" w:rsidRPr="002E1225">
        <w:t xml:space="preserve"> and the health system </w:t>
      </w:r>
      <w:r w:rsidR="00D36A94" w:rsidRPr="002E1225">
        <w:t>i</w:t>
      </w:r>
      <w:r w:rsidR="00000996" w:rsidRPr="002E1225">
        <w:t>s managed by independent civil bodies (such as Idlib Health Directorate)</w:t>
      </w:r>
      <w:r w:rsidR="00D36A94" w:rsidRPr="002E1225">
        <w:t>.</w:t>
      </w:r>
      <w:r w:rsidRPr="002E1225">
        <w:t xml:space="preserve"> Within this patchwork governance, public health guidance is </w:t>
      </w:r>
      <w:r w:rsidR="00000996" w:rsidRPr="002E1225">
        <w:t>imperfect, delayed</w:t>
      </w:r>
      <w:r w:rsidR="00D36A94" w:rsidRPr="002E1225">
        <w:t>,</w:t>
      </w:r>
      <w:r w:rsidR="00000996" w:rsidRPr="002E1225">
        <w:t xml:space="preserve"> and sometimes not comprehensive.</w:t>
      </w:r>
      <w:r w:rsidRPr="002E1225">
        <w:t xml:space="preserve"> The main concern for IDPs is not COVID-19, but rather how to find adequate shelter, food, and water.  COVID-19 is often perceived as God’s will, and some have expressed a lack of control over risk, believing instead that God will protect them from further forms of suffering</w:t>
      </w:r>
      <w:r w:rsidR="00D36A94" w:rsidRPr="002E1225">
        <w:t>.</w:t>
      </w:r>
      <w:r w:rsidR="00C3176D" w:rsidRPr="002E1225">
        <w:fldChar w:fldCharType="begin" w:fldLock="1"/>
      </w:r>
      <w:r w:rsidR="00C3176D" w:rsidRPr="002E1225">
        <w:instrText>ADDIN CSL_CITATION {"citationItems":[{"id":"ITEM-1","itemData":{"author":[{"dropping-particle":"","family":"Douedari","given":"Yazan","non-dropping-particle":"","parse-names":false,"suffix":""},{"dropping-particle":"","family":"Alhaffar","given":"Mervat","non-dropping-particle":"","parse-names":false,"suffix":""},{"dropping-particle":"","family":"Twaish","given":"Muhammed","non-dropping-particle":"Al","parse-names":false,"suffix":""},{"dropping-particle":"","family":"Mkhallalati","given":"Hala","non-dropping-particle":"","parse-names":false,"suffix":""},{"dropping-particle":"","family":"Alwany","given":"Raheb","non-dropping-particle":"","parse-names":false,"suffix":""},{"dropping-particle":"","family":"Bte Mohamed Ibrahim","given":"Nafeesah","non-dropping-particle":"","parse-names":false,"suffix":""},{"dropping-particle":"","family":"Zaseela","given":"Ayshath","non-dropping-particle":"","parse-names":false,"suffix":""},{"dropping-particle":"","family":"Abbara","given":"Aula","non-dropping-particle":"","parse-names":false,"suffix":""},{"dropping-particle":"","family":"Howard","given":"Natasha","non-dropping-particle":"","parse-names":false,"suffix":""}],"container-title":"In preparation","id":"ITEM-1","issued":{"date-parts":[["2020"]]},"title":"Initial responses to the COVID-19 pandemic in northwest Syrian displacement camps: A qualitative study of perceptions and experiences among displaced Syrians","type":"article-journal"},"uris":["http://www.mendeley.com/documents/?uuid=fe33a6cd-eefa-447b-9f01-f565b6e5f9ec"]}],"mendeley":{"formattedCitation":"&lt;sup&gt;15&lt;/sup&gt;","plainTextFormattedCitation":"15","previouslyFormattedCitation":"&lt;sup&gt;15&lt;/sup&gt;"},"properties":{"noteIndex":0},"schema":"https://github.com/citation-style-language/schema/raw/master/csl-citation.json"}</w:instrText>
      </w:r>
      <w:r w:rsidR="00C3176D" w:rsidRPr="002E1225">
        <w:fldChar w:fldCharType="separate"/>
      </w:r>
      <w:r w:rsidR="00C3176D" w:rsidRPr="002E1225">
        <w:rPr>
          <w:noProof/>
          <w:vertAlign w:val="superscript"/>
        </w:rPr>
        <w:t>15</w:t>
      </w:r>
      <w:r w:rsidR="00C3176D" w:rsidRPr="002E1225">
        <w:fldChar w:fldCharType="end"/>
      </w:r>
      <w:r w:rsidR="0093462D" w:rsidRPr="002E1225">
        <w:t xml:space="preserve"> </w:t>
      </w:r>
      <w:r w:rsidRPr="002E1225">
        <w:t>Evidence from Syria suggests:</w:t>
      </w:r>
    </w:p>
    <w:p w14:paraId="7256AA90" w14:textId="5563C1E7" w:rsidR="007A38CA" w:rsidRPr="002E1225" w:rsidRDefault="007A38CA" w:rsidP="0065073C">
      <w:pPr>
        <w:pStyle w:val="ListParagraph"/>
        <w:rPr>
          <w:lang w:val="en-GB"/>
        </w:rPr>
      </w:pPr>
      <w:r w:rsidRPr="002E1225">
        <w:rPr>
          <w:lang w:val="en-GB"/>
        </w:rPr>
        <w:t xml:space="preserve">Different strategies are needed for informal and formal camps. Shielding is unlikely to be successful in an informal camp setting, and so a separate site would need to be established for the shielded, if deemed </w:t>
      </w:r>
      <w:r w:rsidR="00C841B8" w:rsidRPr="002E1225">
        <w:rPr>
          <w:lang w:val="en-GB"/>
        </w:rPr>
        <w:t>acceptable</w:t>
      </w:r>
      <w:r w:rsidRPr="002E1225">
        <w:rPr>
          <w:lang w:val="en-GB"/>
        </w:rPr>
        <w:t xml:space="preserve"> by the </w:t>
      </w:r>
      <w:r w:rsidR="00C841B8" w:rsidRPr="002E1225">
        <w:rPr>
          <w:lang w:val="en-GB"/>
        </w:rPr>
        <w:t>informal camp residents</w:t>
      </w:r>
      <w:r w:rsidRPr="002E1225">
        <w:rPr>
          <w:lang w:val="en-GB"/>
        </w:rPr>
        <w:t>.</w:t>
      </w:r>
    </w:p>
    <w:p w14:paraId="48E6B8BA" w14:textId="173D7883" w:rsidR="0065073C" w:rsidRPr="002E1225" w:rsidRDefault="0065073C" w:rsidP="0065073C">
      <w:pPr>
        <w:pStyle w:val="ListParagraph"/>
        <w:rPr>
          <w:lang w:val="en-GB"/>
        </w:rPr>
      </w:pPr>
      <w:r w:rsidRPr="002E1225">
        <w:rPr>
          <w:lang w:val="en-GB"/>
        </w:rPr>
        <w:t xml:space="preserve">Any efforts to implement shielding in IDP populations should be designed with sensitivity to </w:t>
      </w:r>
      <w:r w:rsidR="00A31675">
        <w:rPr>
          <w:lang w:val="en-GB"/>
        </w:rPr>
        <w:t>lived</w:t>
      </w:r>
      <w:r w:rsidR="00A31675" w:rsidRPr="002E1225">
        <w:rPr>
          <w:lang w:val="en-GB"/>
        </w:rPr>
        <w:t xml:space="preserve"> </w:t>
      </w:r>
      <w:r w:rsidRPr="002E1225">
        <w:rPr>
          <w:lang w:val="en-GB"/>
        </w:rPr>
        <w:t>experiences and the added impact of isolation to this group.</w:t>
      </w:r>
    </w:p>
    <w:p w14:paraId="2698482F" w14:textId="77777777" w:rsidR="00373C3D" w:rsidRPr="002E1225" w:rsidRDefault="0065073C" w:rsidP="0065073C">
      <w:pPr>
        <w:pStyle w:val="ListParagraph"/>
        <w:rPr>
          <w:lang w:val="en-GB"/>
        </w:rPr>
      </w:pPr>
      <w:r w:rsidRPr="002E1225">
        <w:rPr>
          <w:lang w:val="en-GB"/>
        </w:rPr>
        <w:t>Clear communication about the risks of COVID-19, the purpose of shielding and</w:t>
      </w:r>
      <w:r w:rsidR="005E728C" w:rsidRPr="002E1225">
        <w:rPr>
          <w:lang w:val="en-GB"/>
        </w:rPr>
        <w:t xml:space="preserve"> essential implementation principles</w:t>
      </w:r>
      <w:r w:rsidR="00373C3D" w:rsidRPr="002E1225">
        <w:rPr>
          <w:lang w:val="en-GB"/>
        </w:rPr>
        <w:t>.</w:t>
      </w:r>
    </w:p>
    <w:p w14:paraId="56498F76" w14:textId="2316556F" w:rsidR="0065073C" w:rsidRPr="002E1225" w:rsidRDefault="00373C3D" w:rsidP="0065073C">
      <w:pPr>
        <w:pStyle w:val="ListParagraph"/>
        <w:rPr>
          <w:lang w:val="en-GB"/>
        </w:rPr>
      </w:pPr>
      <w:r w:rsidRPr="002E1225">
        <w:rPr>
          <w:lang w:val="en-GB"/>
        </w:rPr>
        <w:t>Shielding design should be co-designed and co-led with the community, following a process led by the community so that they own the approach and can design the shielding arrangements that would work best for them locally.</w:t>
      </w:r>
    </w:p>
    <w:p w14:paraId="5F117E2D" w14:textId="77777777" w:rsidR="0065073C" w:rsidRPr="002E1225" w:rsidRDefault="0065073C" w:rsidP="0065073C">
      <w:pPr>
        <w:pStyle w:val="Heading3"/>
        <w:rPr>
          <w:lang w:val="en-GB"/>
        </w:rPr>
      </w:pPr>
      <w:r w:rsidRPr="002E1225">
        <w:rPr>
          <w:lang w:val="en-GB"/>
        </w:rPr>
        <w:t>Shielding Implementation: Kerala and Gujarat, India</w:t>
      </w:r>
    </w:p>
    <w:p w14:paraId="3D227C29" w14:textId="1DB34BDE" w:rsidR="0065073C" w:rsidRPr="002E1225" w:rsidRDefault="0065073C" w:rsidP="0065073C">
      <w:r w:rsidRPr="002E1225">
        <w:t>Shielding (‘reverse quarantine’) has been implemented in at least two states in India with others considering the policy.</w:t>
      </w:r>
      <w:r w:rsidRPr="002E1225">
        <w:fldChar w:fldCharType="begin" w:fldLock="1"/>
      </w:r>
      <w:r w:rsidR="00C3176D" w:rsidRPr="002E1225">
        <w:instrText>ADDIN CSL_CITATION {"citationItems":[{"id":"ITEM-1","itemData":{"DOI":"10.1016/j.dsx.2020.07.029","ISSN":"18714021","author":[{"dropping-particle":"","family":"Raveendran","given":"A.V.","non-dropping-particle":"","parse-names":false,"suffix":""},{"dropping-particle":"","family":"Jayadevan","given":"Rajeev","non-dropping-particle":"","parse-names":false,"suffix":""}],"container-title":"Diabetes &amp; Metabolic Syndrome: Clinical Research &amp; Reviews","id":"ITEM-1","issue":"5","issued":{"date-parts":[["2020","9"]]},"page":"1323-1325","publisher":"Elsevier","title":"Reverse quarantine and COVID-19","type":"article-journal","volume":"14"},"uris":["http://www.mendeley.com/documents/?uuid=e7e3c72e-e970-3135-82c0-fb05eaba5a70"]}],"mendeley":{"formattedCitation":"&lt;sup&gt;16&lt;/sup&gt;","plainTextFormattedCitation":"16","previouslyFormattedCitation":"&lt;sup&gt;16&lt;/sup&gt;"},"properties":{"noteIndex":0},"schema":"https://github.com/citation-style-language/schema/raw/master/csl-citation.json"}</w:instrText>
      </w:r>
      <w:r w:rsidRPr="002E1225">
        <w:fldChar w:fldCharType="separate"/>
      </w:r>
      <w:r w:rsidR="00C3176D" w:rsidRPr="002E1225">
        <w:rPr>
          <w:noProof/>
          <w:vertAlign w:val="superscript"/>
        </w:rPr>
        <w:t>16</w:t>
      </w:r>
      <w:r w:rsidRPr="002E1225">
        <w:fldChar w:fldCharType="end"/>
      </w:r>
      <w:r w:rsidRPr="002E1225">
        <w:t xml:space="preserve"> As the nationwide lockdown has eased in India, Kerala has </w:t>
      </w:r>
      <w:r w:rsidR="00D7607F" w:rsidRPr="002E1225">
        <w:t>continued to</w:t>
      </w:r>
      <w:r w:rsidRPr="002E1225">
        <w:t xml:space="preserve"> strongly advis</w:t>
      </w:r>
      <w:r w:rsidR="00D7607F" w:rsidRPr="002E1225">
        <w:t>e</w:t>
      </w:r>
      <w:r w:rsidRPr="002E1225">
        <w:t xml:space="preserve"> older adults (65+) to isolate within their homes.</w:t>
      </w:r>
      <w:r w:rsidRPr="002E1225">
        <w:fldChar w:fldCharType="begin" w:fldLock="1"/>
      </w:r>
      <w:r w:rsidR="00C3176D" w:rsidRPr="002E1225">
        <w:instrText>ADDIN CSL_CITATION {"citationItems":[{"id":"ITEM-1","itemData":{"DOI":"10.1111/psyg.12582","ISSN":"1346-3500","author":[{"dropping-particle":"","family":"Gulia","given":"Kamalesh K.","non-dropping-particle":"","parse-names":false,"suffix":""},{"dropping-particle":"","family":"Kumar","given":"Velayudhan M.","non-dropping-particle":"","parse-names":false,"suffix":""}],"container-title":"Psychogeriatrics","id":"ITEM-1","issued":{"date-parts":[["2020","6","29"]]},"page":"psyg.12582","publisher":"Blackwell Publishing Ltd","title":"Reverse quarantine in Kerala: managing the 2019 novel coronavirus in a state with a relatively large elderly population","type":"article-journal"},"uris":["http://www.mendeley.com/documents/?uuid=571f4320-80a9-3c7e-a15c-da5f1b047212"]}],"mendeley":{"formattedCitation":"&lt;sup&gt;17&lt;/sup&gt;","plainTextFormattedCitation":"17","previouslyFormattedCitation":"&lt;sup&gt;17&lt;/sup&gt;"},"properties":{"noteIndex":0},"schema":"https://github.com/citation-style-language/schema/raw/master/csl-citation.json"}</w:instrText>
      </w:r>
      <w:r w:rsidRPr="002E1225">
        <w:fldChar w:fldCharType="separate"/>
      </w:r>
      <w:r w:rsidR="00C3176D" w:rsidRPr="002E1225">
        <w:rPr>
          <w:noProof/>
          <w:vertAlign w:val="superscript"/>
        </w:rPr>
        <w:t>17</w:t>
      </w:r>
      <w:r w:rsidRPr="002E1225">
        <w:fldChar w:fldCharType="end"/>
      </w:r>
      <w:r w:rsidRPr="002E1225">
        <w:t xml:space="preserve"> State government, local officials, and volunteers have supported the social and economic needs of the </w:t>
      </w:r>
      <w:r w:rsidR="00B4148F" w:rsidRPr="002E1225">
        <w:t>shielded</w:t>
      </w:r>
      <w:r w:rsidRPr="002E1225">
        <w:t xml:space="preserve">, for example with food deliveries, consistent with Kerala’s history of social protections for the vulnerable. Despite these measures, isolated older adults reported loneliness and challenges to mental well-being. In response, the state’s </w:t>
      </w:r>
      <w:r w:rsidRPr="002E1225">
        <w:rPr>
          <w:i/>
        </w:rPr>
        <w:t>Kudumbashree</w:t>
      </w:r>
      <w:r w:rsidRPr="002E1225">
        <w:t xml:space="preserve"> women’s empowerment organisation launched an outreach program for the elderly to improve social connectedness.</w:t>
      </w:r>
      <w:r w:rsidRPr="002E1225">
        <w:fldChar w:fldCharType="begin" w:fldLock="1"/>
      </w:r>
      <w:r w:rsidR="00C3176D" w:rsidRPr="002E1225">
        <w:instrText>ADDIN CSL_CITATION {"citationItems":[{"id":"ITEM-1","itemData":{"DOI":"10.1111/psyg.12582","ISSN":"1346-3500","author":[{"dropping-particle":"","family":"Gulia","given":"Kamalesh K.","non-dropping-particle":"","parse-names":false,"suffix":""},{"dropping-particle":"","family":"Kumar","given":"Velayudhan M.","non-dropping-particle":"","parse-names":false,"suffix":""}],"container-title":"Psychogeriatrics","id":"ITEM-1","issued":{"date-parts":[["2020","6","29"]]},"page":"psyg.12582","publisher":"Blackwell Publishing Ltd","title":"Reverse quarantine in Kerala: managing the 2019 novel coronavirus in a state with a relatively large elderly population","type":"article-journal"},"uris":["http://www.mendeley.com/documents/?uuid=571f4320-80a9-3c7e-a15c-da5f1b047212"]}],"mendeley":{"formattedCitation":"&lt;sup&gt;17&lt;/sup&gt;","plainTextFormattedCitation":"17","previouslyFormattedCitation":"&lt;sup&gt;17&lt;/sup&gt;"},"properties":{"noteIndex":0},"schema":"https://github.com/citation-style-language/schema/raw/master/csl-citation.json"}</w:instrText>
      </w:r>
      <w:r w:rsidRPr="002E1225">
        <w:fldChar w:fldCharType="separate"/>
      </w:r>
      <w:r w:rsidR="00C3176D" w:rsidRPr="002E1225">
        <w:rPr>
          <w:noProof/>
          <w:vertAlign w:val="superscript"/>
        </w:rPr>
        <w:t>17</w:t>
      </w:r>
      <w:r w:rsidRPr="002E1225">
        <w:fldChar w:fldCharType="end"/>
      </w:r>
      <w:r w:rsidRPr="002E1225">
        <w:t xml:space="preserve"> Kerala’s police departments also provided support to the elderly by delivering essential medicines and other provisions. Police officers were provided with additional training to handle these requests and to provide basic counselling services.</w:t>
      </w:r>
      <w:r w:rsidRPr="002E1225">
        <w:fldChar w:fldCharType="begin" w:fldLock="1"/>
      </w:r>
      <w:r w:rsidR="00C3176D" w:rsidRPr="002E1225">
        <w:instrText>ADDIN CSL_CITATION {"citationItems":[{"id":"ITEM-1","itemData":{"DOI":"10.1111/psyg.12582","ISSN":"1346-3500","author":[{"dropping-particle":"","family":"Gulia","given":"Kamalesh K.","non-dropping-particle":"","parse-names":false,"suffix":""},{"dropping-particle":"","family":"Kumar","given":"Velayudhan M.","non-dropping-particle":"","parse-names":false,"suffix":""}],"container-title":"Psychogeriatrics","id":"ITEM-1","issued":{"date-parts":[["2020","6","29"]]},"page":"psyg.12582","publisher":"Blackwell Publishing Ltd","title":"Reverse quarantine in Kerala: managing the 2019 novel coronavirus in a state with a relatively large elderly population","type":"article-journal"},"uris":["http://www.mendeley.com/documents/?uuid=571f4320-80a9-3c7e-a15c-da5f1b047212"]}],"mendeley":{"formattedCitation":"&lt;sup&gt;17&lt;/sup&gt;","plainTextFormattedCitation":"17","previouslyFormattedCitation":"&lt;sup&gt;17&lt;/sup&gt;"},"properties":{"noteIndex":0},"schema":"https://github.com/citation-style-language/schema/raw/master/csl-citation.json"}</w:instrText>
      </w:r>
      <w:r w:rsidRPr="002E1225">
        <w:fldChar w:fldCharType="separate"/>
      </w:r>
      <w:r w:rsidR="00C3176D" w:rsidRPr="002E1225">
        <w:rPr>
          <w:noProof/>
          <w:vertAlign w:val="superscript"/>
        </w:rPr>
        <w:t>17</w:t>
      </w:r>
      <w:r w:rsidRPr="002E1225">
        <w:fldChar w:fldCharType="end"/>
      </w:r>
      <w:r w:rsidRPr="002E1225">
        <w:t xml:space="preserve"> </w:t>
      </w:r>
      <w:r w:rsidR="00E1566C" w:rsidRPr="002E1225">
        <w:t xml:space="preserve"> In addition, although shielding is nominally voluntary, there have been reports of police enforcement of the recommendations, including threats of arrest.  </w:t>
      </w:r>
      <w:r w:rsidR="00DD56F9" w:rsidRPr="002E1225">
        <w:t xml:space="preserve">In </w:t>
      </w:r>
      <w:r w:rsidRPr="002E1225">
        <w:t>Gujarat</w:t>
      </w:r>
      <w:r w:rsidR="00A0694A" w:rsidRPr="002E1225">
        <w:t xml:space="preserve"> state</w:t>
      </w:r>
      <w:r w:rsidR="00DD56F9" w:rsidRPr="002E1225">
        <w:t>, rural Ahmedabad</w:t>
      </w:r>
      <w:r w:rsidRPr="002E1225">
        <w:t xml:space="preserve"> began implementing reverse quarantine in May, advising 200,000 older adults and 17,000 pregnant women to isolate at home.</w:t>
      </w:r>
      <w:r w:rsidRPr="002E1225">
        <w:fldChar w:fldCharType="begin" w:fldLock="1"/>
      </w:r>
      <w:r w:rsidR="00C3176D" w:rsidRPr="002E1225">
        <w:instrText>ADDIN CSL_CITATION {"citationItems":[{"id":"ITEM-1","itemData":{"container-title":"Financial Express","id":"ITEM-1","issued":{"date-parts":[["2020","6","3"]]},"title":"COVID-19: In a first, Ahmedabad to implement reverse quarantine for safety of pregnant women, elderly","type":"article-newspaper"},"uris":["http://www.mendeley.com/documents/?uuid=df7f80fb-d38f-33b7-be1f-99387a8ae136"]}],"mendeley":{"formattedCitation":"&lt;sup&gt;18&lt;/sup&gt;","plainTextFormattedCitation":"18","previouslyFormattedCitation":"&lt;sup&gt;18&lt;/sup&gt;"},"properties":{"noteIndex":0},"schema":"https://github.com/citation-style-language/schema/raw/master/csl-citation.json"}</w:instrText>
      </w:r>
      <w:r w:rsidRPr="002E1225">
        <w:fldChar w:fldCharType="separate"/>
      </w:r>
      <w:r w:rsidR="00C3176D" w:rsidRPr="002E1225">
        <w:rPr>
          <w:noProof/>
          <w:vertAlign w:val="superscript"/>
        </w:rPr>
        <w:t>18</w:t>
      </w:r>
      <w:r w:rsidRPr="002E1225">
        <w:fldChar w:fldCharType="end"/>
      </w:r>
      <w:r w:rsidRPr="002E1225">
        <w:t xml:space="preserve"> There, local youth councils and healthcare workers have been tasked with carrying out the process and looking after the isolated.</w:t>
      </w:r>
      <w:r w:rsidRPr="002E1225">
        <w:fldChar w:fldCharType="begin" w:fldLock="1"/>
      </w:r>
      <w:r w:rsidR="00C3176D" w:rsidRPr="002E1225">
        <w:instrText>ADDIN CSL_CITATION {"citationItems":[{"id":"ITEM-1","itemData":{"URL":"https://indianexpress.com/article/cities/ahmedabad/rural-ahmedabad-reverse-quarantine-for-pregnant-women-and-the-elderly-says-govt-6439662/","accessed":{"date-parts":[["2020","7","30"]]},"id":"ITEM-1","issued":{"date-parts":[["0"]]},"title":"Rural ahmedabad: ‘Reverse quarantine’ for pregnant women and the elderly, says govt | Cities News,The Indian Express","type":"webpage"},"uris":["http://www.mendeley.com/documents/?uuid=032f1fff-0857-3099-b6e1-8d778d368391"]}],"mendeley":{"formattedCitation":"&lt;sup&gt;19&lt;/sup&gt;","plainTextFormattedCitation":"19","previouslyFormattedCitation":"&lt;sup&gt;19&lt;/sup&gt;"},"properties":{"noteIndex":0},"schema":"https://github.com/citation-style-language/schema/raw/master/csl-citation.json"}</w:instrText>
      </w:r>
      <w:r w:rsidRPr="002E1225">
        <w:fldChar w:fldCharType="separate"/>
      </w:r>
      <w:r w:rsidR="00C3176D" w:rsidRPr="002E1225">
        <w:rPr>
          <w:noProof/>
          <w:vertAlign w:val="superscript"/>
        </w:rPr>
        <w:t>19</w:t>
      </w:r>
      <w:r w:rsidRPr="002E1225">
        <w:fldChar w:fldCharType="end"/>
      </w:r>
      <w:r w:rsidR="00A0694A" w:rsidRPr="002E1225">
        <w:t xml:space="preserve">  No other information is available at the time of writing</w:t>
      </w:r>
      <w:r w:rsidR="00E1566C" w:rsidRPr="002E1225">
        <w:t>.</w:t>
      </w:r>
    </w:p>
    <w:p w14:paraId="6F01F560" w14:textId="77777777" w:rsidR="0065073C" w:rsidRPr="002E1225" w:rsidRDefault="0065073C" w:rsidP="0065073C">
      <w:pPr>
        <w:pStyle w:val="Heading3"/>
        <w:rPr>
          <w:lang w:val="en-GB"/>
        </w:rPr>
      </w:pPr>
      <w:r w:rsidRPr="002E1225">
        <w:rPr>
          <w:lang w:val="en-GB"/>
        </w:rPr>
        <w:t>Shielding Implementation: Yemen</w:t>
      </w:r>
    </w:p>
    <w:p w14:paraId="392F64D4" w14:textId="71109A0C" w:rsidR="0065073C" w:rsidRPr="002E1225" w:rsidRDefault="0065073C" w:rsidP="0065073C">
      <w:r w:rsidRPr="002E1225">
        <w:t>Yemen has a collapsing health system, weak clinical management of COVID-19, and multiple social and economic challenges as a result of protracted conflict.</w:t>
      </w:r>
      <w:r w:rsidRPr="002E1225">
        <w:fldChar w:fldCharType="begin" w:fldLock="1"/>
      </w:r>
      <w:r w:rsidR="00C3176D" w:rsidRPr="002E1225">
        <w:instrText>ADDIN CSL_CITATION {"citationItems":[{"id":"ITEM-1","itemData":{"author":[{"dropping-particle":"","family":"Snyder","given":"S.","non-dropping-particle":"","parse-names":false,"suffix":""}],"container-title":"The World","id":"ITEM-1","issued":{"date-parts":[["2020","6","4"]]},"title":"Yemen faces spread of COVID-19 'with no health care system at all'","type":"article-newspaper"},"uris":["http://www.mendeley.com/documents/?uuid=420e8abd-80f1-3026-81a3-2d8a57007b49"]},{"id":"ITEM-2","itemData":{"URL":"https://www.msf.org/covid-19-has-made-yemen-health-system-collapse-complete","accessed":{"date-parts":[["2020","7","13"]]},"container-title":"MSF","id":"ITEM-2","issued":{"date-parts":[["2020"]]},"title":"Coronavirus COVID-19 has made Yemen’s health system collapse complete","type":"webpage"},"uris":["http://www.mendeley.com/documents/?uuid=a9ca2243-3f27-3f6a-92b6-490402d76cec"]}],"mendeley":{"formattedCitation":"&lt;sup&gt;20, 21&lt;/sup&gt;","plainTextFormattedCitation":"20, 21","previouslyFormattedCitation":"&lt;sup&gt;20, 21&lt;/sup&gt;"},"properties":{"noteIndex":0},"schema":"https://github.com/citation-style-language/schema/raw/master/csl-citation.json"}</w:instrText>
      </w:r>
      <w:r w:rsidRPr="002E1225">
        <w:fldChar w:fldCharType="separate"/>
      </w:r>
      <w:r w:rsidR="00C3176D" w:rsidRPr="002E1225">
        <w:rPr>
          <w:noProof/>
          <w:vertAlign w:val="superscript"/>
        </w:rPr>
        <w:t>20, 21</w:t>
      </w:r>
      <w:r w:rsidRPr="002E1225">
        <w:fldChar w:fldCharType="end"/>
      </w:r>
      <w:r w:rsidRPr="002E1225">
        <w:t xml:space="preserve"> COVID-19 testing and contact tracing are not feasible or realistic</w:t>
      </w:r>
      <w:r w:rsidR="002B340F" w:rsidRPr="002E1225">
        <w:t xml:space="preserve"> at the required scale to be effective. In the north of the country, there is a complete denial of COVID-19 and a refusal to report cases, driven in part by the ongoing political situation</w:t>
      </w:r>
      <w:r w:rsidRPr="002E1225">
        <w:t>.</w:t>
      </w:r>
      <w:r w:rsidRPr="002E1225">
        <w:rPr>
          <w:bCs/>
        </w:rPr>
        <w:t xml:space="preserve"> </w:t>
      </w:r>
      <w:r w:rsidR="00A0694A" w:rsidRPr="002E1225">
        <w:rPr>
          <w:bCs/>
        </w:rPr>
        <w:t xml:space="preserve"> </w:t>
      </w:r>
      <w:r w:rsidRPr="002E1225">
        <w:t xml:space="preserve">Shielding has been introduced in 17 districts, targeting about 57,000 people </w:t>
      </w:r>
      <w:r w:rsidR="00A0694A" w:rsidRPr="002E1225">
        <w:t xml:space="preserve">and </w:t>
      </w:r>
      <w:r w:rsidRPr="002E1225">
        <w:t xml:space="preserve">led by the Camp Coordination and Camp Management (CCCM) </w:t>
      </w:r>
      <w:r w:rsidR="00BA1C2A" w:rsidRPr="002E1225">
        <w:t xml:space="preserve">and WASH </w:t>
      </w:r>
      <w:r w:rsidRPr="002E1225">
        <w:t>Clusters and other humanitarian organisations. Shielding implementation</w:t>
      </w:r>
      <w:r w:rsidR="003703C5" w:rsidRPr="002E1225">
        <w:t xml:space="preserve"> started </w:t>
      </w:r>
      <w:r w:rsidR="00E85916" w:rsidRPr="002E1225">
        <w:t xml:space="preserve">with community consultation </w:t>
      </w:r>
      <w:r w:rsidR="003703C5" w:rsidRPr="002E1225">
        <w:t xml:space="preserve">in </w:t>
      </w:r>
      <w:r w:rsidR="00E85916" w:rsidRPr="002E1225">
        <w:t>IDP</w:t>
      </w:r>
      <w:r w:rsidR="003703C5" w:rsidRPr="002E1225">
        <w:t xml:space="preserve"> </w:t>
      </w:r>
      <w:r w:rsidR="00E85916" w:rsidRPr="002E1225">
        <w:t>sites</w:t>
      </w:r>
      <w:r w:rsidR="003703C5" w:rsidRPr="002E1225">
        <w:t xml:space="preserve"> </w:t>
      </w:r>
      <w:r w:rsidR="00E85916" w:rsidRPr="002E1225">
        <w:t xml:space="preserve">in Abs District in the north of Yemen, and on the West Coast of southern Hudaydah. Sessions were </w:t>
      </w:r>
      <w:r w:rsidRPr="002E1225">
        <w:t xml:space="preserve">facilitated by </w:t>
      </w:r>
      <w:r w:rsidR="002451A7" w:rsidRPr="002E1225">
        <w:t xml:space="preserve">humanitarian organisations with </w:t>
      </w:r>
      <w:r w:rsidRPr="002E1225">
        <w:t xml:space="preserve">local leaders and communities who co-designed the strategy, </w:t>
      </w:r>
      <w:r w:rsidR="00BC04B1" w:rsidRPr="002E1225">
        <w:t>and confirmed that a focus</w:t>
      </w:r>
      <w:r w:rsidRPr="002E1225">
        <w:t xml:space="preserve"> on shielding at the household or extended family level</w:t>
      </w:r>
      <w:r w:rsidR="00BC04B1" w:rsidRPr="002E1225">
        <w:t xml:space="preserve"> was the culturally appropriate level at which shielding could occur</w:t>
      </w:r>
      <w:r w:rsidRPr="002E1225">
        <w:t>.</w:t>
      </w:r>
      <w:r w:rsidRPr="002E1225">
        <w:fldChar w:fldCharType="begin" w:fldLock="1"/>
      </w:r>
      <w:r w:rsidR="00E51501" w:rsidRPr="002E1225">
        <w:instrText>ADDIN CSL_CITATION {"citationItems":[{"id":"ITEM-1","itemData":{"author":[{"dropping-particle":"","family":"Danish Refugee Council","given":"","non-dropping-particle":"","parse-names":false,"suffix":""},{"dropping-particle":"","family":"Yemen Displacement Response","given":"","non-dropping-particle":"","parse-names":false,"suffix":""}],"id":"ITEM-1","issued":{"date-parts":[["2020"]]},"title":"Protecting the high-risk from COVID-19 through community shielding","type":"report"},"uris":["http://www.mendeley.com/documents/?uuid=60ad5eda-9832-4ddf-8868-e7133c690f02"]},{"id":"ITEM-2","itemData":{"author":[{"dropping-particle":"","family":"Danish Refugee Council","given":"","non-dropping-particle":"","parse-names":false,"suffix":""},{"dropping-particle":"","family":"Yemen Displacement Response","given":"","non-dropping-particle":"","parse-names":false,"suffix":""}],"id":"ITEM-2","issued":{"date-parts":[["2020"]]},"title":"Community consultation guide: Community shielding, Phase 1 site level consultation","type":"report"},"uris":["http://www.mendeley.com/documents/?uuid=288366f1-bf16-4d83-9af8-4da1f93077b7"]},{"id":"ITEM-3","itemData":{"author":[{"dropping-particle":"","family":"CCCM Cluster","given":"","non-dropping-particle":"","parse-names":false,"suffix":""}],"id":"ITEM-3","issued":{"date-parts":[["2020"]]},"title":"CCCM cluster guidance on shielding of vulnerable populations in IDP-hosting sites in Yemen.","type":"report"},"uris":["http://www.mendeley.com/documents/?uuid=a46b448e-1585-4633-9849-91fc5c91a2b8"]},{"id":"ITEM-4","itemData":{"author":[{"dropping-particle":"","family":"Danish Refugee Council","given":"","non-dropping-particle":"","parse-names":false,"suffix":""}],"id":"ITEM-4","issued":{"date-parts":[["2020"]]},"title":"Yemen displacement response","type":"report"},"uris":["http://www.mendeley.com/documents/?uuid=f4b209f7-4e18-4cf3-a20d-0b553a4e3210"]},{"id":"ITEM-5","itemData":{"author":[{"dropping-particle":"","family":"CCCM Cluster","given":"","non-dropping-particle":"","parse-names":false,"suffix":""}],"id":"ITEM-5","issued":{"date-parts":[["2020"]]},"title":"CCCM Cluster on shielding of vulnerabe populations in IDP-hosting sites in Yemen: Initial lessons learnt","type":"report"},"uris":["http://www.mendeley.com/documents/?uuid=9890196b-3fdb-4955-8eda-4c9cfd253c1e"]}],"mendeley":{"formattedCitation":"&lt;sup&gt;22–26&lt;/sup&gt;","plainTextFormattedCitation":"22–26","previouslyFormattedCitation":"&lt;sup&gt;22–26&lt;/sup&gt;"},"properties":{"noteIndex":0},"schema":"https://github.com/citation-style-language/schema/raw/master/csl-citation.json"}</w:instrText>
      </w:r>
      <w:r w:rsidRPr="002E1225">
        <w:fldChar w:fldCharType="separate"/>
      </w:r>
      <w:r w:rsidR="00C3176D" w:rsidRPr="002E1225">
        <w:rPr>
          <w:noProof/>
          <w:vertAlign w:val="superscript"/>
        </w:rPr>
        <w:t>22–26</w:t>
      </w:r>
      <w:r w:rsidRPr="002E1225">
        <w:fldChar w:fldCharType="end"/>
      </w:r>
      <w:r w:rsidRPr="002E1225">
        <w:t xml:space="preserve">  Grouping high-risk individuals together outside of their homes was deemed socially unacceptable, and there was a strong preference for not mixing with other households</w:t>
      </w:r>
      <w:r w:rsidR="00BC04B1" w:rsidRPr="002E1225">
        <w:t xml:space="preserve"> due to cultural norms around privacy</w:t>
      </w:r>
      <w:r w:rsidRPr="002E1225">
        <w:t xml:space="preserve">. Among </w:t>
      </w:r>
      <w:r w:rsidR="00A0694A" w:rsidRPr="002E1225">
        <w:t xml:space="preserve">extended </w:t>
      </w:r>
      <w:r w:rsidRPr="002E1225">
        <w:t xml:space="preserve">families </w:t>
      </w:r>
      <w:r w:rsidR="00A0694A" w:rsidRPr="002E1225">
        <w:t xml:space="preserve">living in compounds made up of </w:t>
      </w:r>
      <w:r w:rsidRPr="002E1225">
        <w:t xml:space="preserve">multiple homes, </w:t>
      </w:r>
      <w:r w:rsidR="00E1566C" w:rsidRPr="002E1225">
        <w:t xml:space="preserve">it was suggested that </w:t>
      </w:r>
      <w:r w:rsidRPr="002E1225">
        <w:t>one shelter could be dedicated to shielding for high-risk family members</w:t>
      </w:r>
      <w:r w:rsidR="00BC04B1" w:rsidRPr="002E1225">
        <w:t>, especially of the same gender</w:t>
      </w:r>
      <w:r w:rsidRPr="002E1225">
        <w:t>.</w:t>
      </w:r>
    </w:p>
    <w:p w14:paraId="63525C4E" w14:textId="77777777" w:rsidR="00EF71F8" w:rsidRPr="002E1225" w:rsidRDefault="0065073C" w:rsidP="0065073C">
      <w:r w:rsidRPr="002E1225">
        <w:t xml:space="preserve">Evidence suggests that shielding resonates with a strong local tradition of protecting the elderly and the most vulnerable. In response to this, local </w:t>
      </w:r>
      <w:r w:rsidR="00AB225C" w:rsidRPr="002E1225">
        <w:t xml:space="preserve">and international </w:t>
      </w:r>
      <w:r w:rsidRPr="002E1225">
        <w:t xml:space="preserve">humanitarian NGOs are including shielding in their policies and it is being considered for the national response strategy. </w:t>
      </w:r>
    </w:p>
    <w:p w14:paraId="6A3BE3B8" w14:textId="10E8CF8B" w:rsidR="0065073C" w:rsidRPr="002E1225" w:rsidRDefault="00EF71F8" w:rsidP="0065073C">
      <w:r w:rsidRPr="002E1225">
        <w:t xml:space="preserve">Based on learning from camp-like settings / IDP sites, humanitarian actors in Yemen have developed a shielding implementation strategy for communities. </w:t>
      </w:r>
      <w:r w:rsidR="0082070D">
        <w:t>High risk individuals were identified,</w:t>
      </w:r>
      <w:r w:rsidRPr="002E1225">
        <w:t xml:space="preserve"> and communit</w:t>
      </w:r>
      <w:r w:rsidR="0082070D">
        <w:t>ies</w:t>
      </w:r>
      <w:r w:rsidRPr="002E1225">
        <w:t xml:space="preserve"> and household</w:t>
      </w:r>
      <w:r w:rsidR="0082070D">
        <w:t>s</w:t>
      </w:r>
      <w:r w:rsidRPr="002E1225">
        <w:t xml:space="preserve"> consult</w:t>
      </w:r>
      <w:r w:rsidR="0082070D">
        <w:t>ed</w:t>
      </w:r>
      <w:r w:rsidRPr="002E1225">
        <w:t xml:space="preserve">. Geographic prioritisation was based on specific criteria, including: areas of high population density, urban centres, areas of low access to health and WASH services, as well as high vulnerability. </w:t>
      </w:r>
      <w:r w:rsidR="0082070D">
        <w:t>Initial consultation suggested a</w:t>
      </w:r>
      <w:r w:rsidRPr="002E1225">
        <w:t xml:space="preserve">uthorities and populations accepted the approach. </w:t>
      </w:r>
      <w:r w:rsidR="0082070D">
        <w:t>R</w:t>
      </w:r>
      <w:r w:rsidRPr="002E1225">
        <w:t>egistration of high-risk individuals and implementation of household shielding commenced</w:t>
      </w:r>
      <w:r w:rsidR="0082070D">
        <w:t>, with m</w:t>
      </w:r>
      <w:r w:rsidRPr="002E1225">
        <w:t>onitoring and evaluation to understand compliance and acceptance and collect lessons learned. E</w:t>
      </w:r>
      <w:r w:rsidR="0065073C" w:rsidRPr="002E1225">
        <w:t xml:space="preserve">arly lessons from shielding in Yemen include: </w:t>
      </w:r>
    </w:p>
    <w:p w14:paraId="1FF3AD50" w14:textId="77777777" w:rsidR="00F1111F" w:rsidRPr="002E1225" w:rsidRDefault="00F1111F" w:rsidP="00F1111F">
      <w:pPr>
        <w:pStyle w:val="ListParagraph"/>
        <w:rPr>
          <w:lang w:val="en-GB"/>
        </w:rPr>
      </w:pPr>
      <w:r w:rsidRPr="002E1225">
        <w:rPr>
          <w:lang w:val="en-GB"/>
        </w:rPr>
        <w:t xml:space="preserve">A majority of participants in focus group discussions were </w:t>
      </w:r>
      <w:r w:rsidRPr="002E1225">
        <w:rPr>
          <w:b/>
          <w:bCs/>
          <w:lang w:val="en-GB"/>
        </w:rPr>
        <w:t>aware of who is at high risk</w:t>
      </w:r>
      <w:r w:rsidRPr="002E1225">
        <w:rPr>
          <w:lang w:val="en-GB"/>
        </w:rPr>
        <w:t xml:space="preserve"> of COVID-19. Sheikhs, community leaders, and NGOs were trusted sources of information and were involved in risk communication and community engagement activities, which helped to shape these perceptions.</w:t>
      </w:r>
    </w:p>
    <w:p w14:paraId="76075BE8" w14:textId="7E6EE954" w:rsidR="0065073C" w:rsidRPr="002E1225" w:rsidRDefault="0065073C" w:rsidP="0065073C">
      <w:pPr>
        <w:pStyle w:val="ListParagraph"/>
        <w:rPr>
          <w:lang w:val="en-GB"/>
        </w:rPr>
      </w:pPr>
      <w:r w:rsidRPr="002E1225">
        <w:rPr>
          <w:b/>
          <w:lang w:val="en-GB"/>
        </w:rPr>
        <w:t xml:space="preserve">Systematic community consultation </w:t>
      </w:r>
      <w:r w:rsidRPr="002E1225">
        <w:rPr>
          <w:lang w:val="en-GB"/>
        </w:rPr>
        <w:t xml:space="preserve">was effective to manage, plan, and implement shielding in Yemen, when paired with trusted and locally known humanitarian staff. </w:t>
      </w:r>
      <w:r w:rsidR="003E772B" w:rsidRPr="002E1225">
        <w:rPr>
          <w:lang w:val="en-GB"/>
        </w:rPr>
        <w:t>Pre-existing presence of humanitarian actors in an area increased community acceptance and thus feasibility.</w:t>
      </w:r>
    </w:p>
    <w:p w14:paraId="135DC8EC" w14:textId="77777777" w:rsidR="0065073C" w:rsidRPr="002E1225" w:rsidRDefault="0065073C" w:rsidP="0065073C">
      <w:pPr>
        <w:pStyle w:val="ListParagraph"/>
        <w:rPr>
          <w:lang w:val="en-GB"/>
        </w:rPr>
      </w:pPr>
      <w:r w:rsidRPr="002E1225">
        <w:rPr>
          <w:b/>
          <w:lang w:val="en-GB"/>
        </w:rPr>
        <w:t>Household shielding was preferred</w:t>
      </w:r>
      <w:r w:rsidRPr="002E1225">
        <w:rPr>
          <w:lang w:val="en-GB"/>
        </w:rPr>
        <w:t>, so as to keep the family unit together. The idea of a “communal” block or camp-level green zone was widely met with hesitation or concern. Sending family members away would also represent an abandonment of vulnerable family members, which was socially unacceptable.</w:t>
      </w:r>
    </w:p>
    <w:p w14:paraId="48639264" w14:textId="176EE974" w:rsidR="0065073C" w:rsidRPr="002E1225" w:rsidRDefault="0065073C" w:rsidP="0065073C">
      <w:pPr>
        <w:pStyle w:val="ListParagraph"/>
        <w:rPr>
          <w:lang w:val="en-GB"/>
        </w:rPr>
      </w:pPr>
      <w:r w:rsidRPr="002E1225">
        <w:rPr>
          <w:b/>
          <w:bCs/>
          <w:lang w:val="en-GB"/>
        </w:rPr>
        <w:t xml:space="preserve">Shielded individuals who already receive </w:t>
      </w:r>
      <w:r w:rsidR="00F1111F" w:rsidRPr="002E1225">
        <w:rPr>
          <w:b/>
          <w:bCs/>
          <w:lang w:val="en-GB"/>
        </w:rPr>
        <w:t>food</w:t>
      </w:r>
      <w:r w:rsidRPr="002E1225">
        <w:rPr>
          <w:b/>
          <w:bCs/>
          <w:lang w:val="en-GB"/>
        </w:rPr>
        <w:t xml:space="preserve"> support </w:t>
      </w:r>
      <w:r w:rsidR="003E772B" w:rsidRPr="002E1225">
        <w:rPr>
          <w:bCs/>
          <w:lang w:val="en-GB"/>
        </w:rPr>
        <w:t>should be supported with deliveries or adapted mechanisms of receiving assistance</w:t>
      </w:r>
      <w:r w:rsidRPr="002E1225">
        <w:rPr>
          <w:bCs/>
          <w:lang w:val="en-GB"/>
        </w:rPr>
        <w:t xml:space="preserve">. Community representatives, leaders, and authorities were encouraged to support others </w:t>
      </w:r>
      <w:r w:rsidR="00A0694A" w:rsidRPr="002E1225">
        <w:rPr>
          <w:bCs/>
          <w:lang w:val="en-GB"/>
        </w:rPr>
        <w:t xml:space="preserve">to </w:t>
      </w:r>
      <w:r w:rsidRPr="002E1225">
        <w:rPr>
          <w:bCs/>
          <w:lang w:val="en-GB"/>
        </w:rPr>
        <w:t>access food and other forms of assistance.</w:t>
      </w:r>
    </w:p>
    <w:p w14:paraId="3F0661AC" w14:textId="4AADC104" w:rsidR="00961D81" w:rsidRPr="002E1225" w:rsidRDefault="00961D81" w:rsidP="00961D81">
      <w:pPr>
        <w:pStyle w:val="ListParagraph"/>
        <w:rPr>
          <w:lang w:val="en-GB"/>
        </w:rPr>
      </w:pPr>
      <w:r w:rsidRPr="002E1225">
        <w:rPr>
          <w:b/>
          <w:bCs/>
          <w:lang w:val="en-GB"/>
        </w:rPr>
        <w:t xml:space="preserve">IPC messages </w:t>
      </w:r>
      <w:r w:rsidR="003E772B" w:rsidRPr="002E1225">
        <w:rPr>
          <w:b/>
          <w:bCs/>
          <w:lang w:val="en-GB"/>
        </w:rPr>
        <w:t xml:space="preserve">and training to community focal points </w:t>
      </w:r>
      <w:r w:rsidRPr="002E1225">
        <w:rPr>
          <w:b/>
          <w:bCs/>
          <w:lang w:val="en-GB"/>
        </w:rPr>
        <w:t xml:space="preserve">relating to shielding were </w:t>
      </w:r>
      <w:r w:rsidR="00F1111F" w:rsidRPr="002E1225">
        <w:rPr>
          <w:b/>
          <w:bCs/>
          <w:lang w:val="en-GB"/>
        </w:rPr>
        <w:t>adapted to this context</w:t>
      </w:r>
      <w:r w:rsidRPr="002E1225">
        <w:rPr>
          <w:lang w:val="en-GB"/>
        </w:rPr>
        <w:t xml:space="preserve"> and covered cleaning toilets, washing hands, eating in separate places and other basic </w:t>
      </w:r>
      <w:r w:rsidR="00A0694A" w:rsidRPr="002E1225">
        <w:rPr>
          <w:lang w:val="en-GB"/>
        </w:rPr>
        <w:t xml:space="preserve">advice </w:t>
      </w:r>
      <w:r w:rsidRPr="002E1225">
        <w:rPr>
          <w:lang w:val="en-GB"/>
        </w:rPr>
        <w:t>such as how to prepare a disinfecting solution. Messaging also provided guidance on behaviour change for high-risk individuals and protection of well-being.</w:t>
      </w:r>
    </w:p>
    <w:p w14:paraId="752CED58" w14:textId="63ACAB41" w:rsidR="00E51501" w:rsidRPr="002E1225" w:rsidRDefault="00E51501" w:rsidP="00E51501">
      <w:pPr>
        <w:pStyle w:val="ListParagraph"/>
        <w:rPr>
          <w:lang w:val="en-GB"/>
        </w:rPr>
      </w:pPr>
      <w:r w:rsidRPr="002E1225">
        <w:rPr>
          <w:b/>
          <w:bCs/>
          <w:lang w:val="en-GB"/>
        </w:rPr>
        <w:t xml:space="preserve">Supportive kits </w:t>
      </w:r>
      <w:r w:rsidR="007B30EF" w:rsidRPr="002E1225">
        <w:rPr>
          <w:b/>
          <w:bCs/>
          <w:lang w:val="en-GB"/>
        </w:rPr>
        <w:t>are recommended to increase community buy-in and limit infection spread</w:t>
      </w:r>
      <w:r w:rsidRPr="002E1225">
        <w:rPr>
          <w:b/>
          <w:bCs/>
          <w:lang w:val="en-GB"/>
        </w:rPr>
        <w:t>.</w:t>
      </w:r>
      <w:r w:rsidRPr="002E1225">
        <w:rPr>
          <w:lang w:val="en-GB"/>
        </w:rPr>
        <w:t xml:space="preserve"> Households that were shielding a high-risk member were provided with a disinfection kit that included disinfectant, reusable heavy rubber gloves, a cleaning bucket, cleaning cloths, scrub brush, garbage bags, soap, laundry washing powder, face mask, and an IPC brochure.</w:t>
      </w:r>
    </w:p>
    <w:p w14:paraId="579A4041" w14:textId="1B134AD3" w:rsidR="00E51501" w:rsidRPr="002E1225" w:rsidRDefault="00E51501" w:rsidP="007B30EF">
      <w:pPr>
        <w:pStyle w:val="ListParagraph"/>
        <w:rPr>
          <w:lang w:val="en-GB"/>
        </w:rPr>
      </w:pPr>
      <w:r w:rsidRPr="002E1225">
        <w:rPr>
          <w:b/>
          <w:lang w:val="en-GB"/>
        </w:rPr>
        <w:t xml:space="preserve">Daily follow-up with shielding families </w:t>
      </w:r>
      <w:r w:rsidRPr="002E1225">
        <w:rPr>
          <w:lang w:val="en-GB"/>
        </w:rPr>
        <w:t>was helpful to provide information, understand barriers, and discuss issues for follow-up.</w:t>
      </w:r>
      <w:r w:rsidR="007B30EF" w:rsidRPr="002E1225">
        <w:rPr>
          <w:lang w:val="en-GB"/>
        </w:rPr>
        <w:t xml:space="preserve"> WASH, camp management</w:t>
      </w:r>
      <w:r w:rsidR="003A6EE3" w:rsidRPr="002E1225">
        <w:rPr>
          <w:lang w:val="en-GB"/>
        </w:rPr>
        <w:t>,</w:t>
      </w:r>
      <w:r w:rsidR="007B30EF" w:rsidRPr="002E1225">
        <w:rPr>
          <w:lang w:val="en-GB"/>
        </w:rPr>
        <w:t xml:space="preserve"> and protection actors with regular presence in implementation areas and pre-existing knowledge and relationships with the community can be helpful in gaining an accurate understanding of the support and information needed to shield effectively. </w:t>
      </w:r>
    </w:p>
    <w:p w14:paraId="19BEA3BC" w14:textId="77777777" w:rsidR="0065073C" w:rsidRPr="002E1225" w:rsidRDefault="0065073C" w:rsidP="0065073C">
      <w:pPr>
        <w:pStyle w:val="Heading3"/>
        <w:rPr>
          <w:lang w:val="en-GB"/>
        </w:rPr>
      </w:pPr>
      <w:r w:rsidRPr="002E1225">
        <w:rPr>
          <w:lang w:val="en-GB"/>
        </w:rPr>
        <w:t>Informal Shielding: Evidence from Ethiopia</w:t>
      </w:r>
    </w:p>
    <w:p w14:paraId="419C1F64" w14:textId="06CE63E6" w:rsidR="0065073C" w:rsidRPr="002E1225" w:rsidRDefault="0065073C" w:rsidP="0065073C">
      <w:pPr>
        <w:tabs>
          <w:tab w:val="left" w:pos="90"/>
        </w:tabs>
        <w:ind w:left="180" w:right="147"/>
      </w:pPr>
      <w:r w:rsidRPr="002E1225">
        <w:t xml:space="preserve">Early evidence of informal shielding has begun to emerge from Ethiopia, where </w:t>
      </w:r>
      <w:r w:rsidR="00E1566C" w:rsidRPr="002E1225">
        <w:t>cultural</w:t>
      </w:r>
      <w:r w:rsidR="00304F29" w:rsidRPr="002E1225">
        <w:t xml:space="preserve"> emphasis on </w:t>
      </w:r>
      <w:r w:rsidRPr="002E1225">
        <w:t xml:space="preserve">placing community over individual needs has shaped the </w:t>
      </w:r>
      <w:r w:rsidR="0082070D">
        <w:t xml:space="preserve">COVID-19 </w:t>
      </w:r>
      <w:r w:rsidRPr="002E1225">
        <w:t>response.</w:t>
      </w:r>
      <w:r w:rsidRPr="002E1225">
        <w:fldChar w:fldCharType="begin" w:fldLock="1"/>
      </w:r>
      <w:r w:rsidR="00C3176D" w:rsidRPr="002E1225">
        <w:instrText>ADDIN CSL_CITATION {"citationItems":[{"id":"ITEM-1","itemData":{"DOI":"10.1136/bmjgh-2020-003204","abstract":"### Summary box\n\n‘When spider webs unite’, says an Ethiopian proverb, ‘they can tie up a lion’. It reflects a relational way of thinking about the world that underlies Ethiopia’s public health response to the COVID-19 pandemic. Togetherness is a fundamental value that binds this country of more than 110 million people and is embedded in deep-rooted systems that support communal life. By standing together, we become bigger than ourselves. As health policy stakeholders in Ethiopia, we believe that the only way to contain COVID-19 is to implement strategies embedded in togetherness.1\n\nThis notion of connectedness is embodied in the concept of ubuntu , which has been a guiding principle in sub-Saharan Africa for hundreds of years.2 Many great African leaders, including Desmond Tutu and Nelson Mandela, incorporated elements of ubuntu into their work.2 Ubuntu situates individuals within a web of relationships that is born of identifying with others and acting in solidarity. It is by sharing a way of life with others that individuals ‘come into existence’.3 We exist because our social connections remain strong, extending beyond family to embrace …","author":[{"dropping-particle":"","family":"Seifu Estifanos","given":"Abiy","non-dropping-particle":"","parse-names":false,"suffix":""},{"dropping-particle":"","family":"Alemu","given":"Getnet","non-dropping-particle":"","parse-names":false,"suffix":""},{"dropping-particle":"","family":"Negussie","given":"Solomon","non-dropping-particle":"","parse-names":false,"suffix":""},{"dropping-particle":"","family":"Ero","given":"Debebe","non-dropping-particle":"","parse-names":false,"suffix":""},{"dropping-particle":"","family":"Mengistu","given":"Yewondwossen","non-dropping-particle":"","parse-names":false,"suffix":""},{"dropping-particle":"","family":"Addissie","given":"Adamu","non-dropping-particle":"","parse-names":false,"suffix":""},{"dropping-particle":"","family":"Gebrehiwot","given":"Yirgu","non-dropping-particle":"","parse-names":false,"suffix":""},{"dropping-particle":"","family":"Yifter","given":"Helen","non-dropping-particle":"","parse-names":false,"suffix":""},{"dropping-particle":"","family":"Melkie","given":"Addisu","non-dropping-particle":"","parse-names":false,"suffix":""},{"dropping-particle":"","family":"Gebrekiros","given":"Damen Hailemariam","non-dropping-particle":"","parse-names":false,"suffix":""},{"dropping-particle":"","family":"Gebremariam Kotecho","given":"Messay","non-dropping-particle":"","parse-names":false,"suffix":""},{"dropping-particle":"","family":"Soklaridis","given":"Sophie","non-dropping-particle":"","parse-names":false,"suffix":""},{"dropping-particle":"","family":"Cartmill","given":"Carrie","non-dropping-particle":"","parse-names":false,"suffix":""},{"dropping-particle":"","family":"Whitehead","given":"Cynthia Ruth","non-dropping-particle":"","parse-names":false,"suffix":""},{"dropping-particle":"","family":"Wondimagegn","given":"Dawit","non-dropping-particle":"","parse-names":false,"suffix":""}],"container-title":"BMJ Global Health","id":"ITEM-1","issue":"7","issued":{"date-parts":[["2020","7","1"]]},"page":"e003204","publisher":"BMJ","title":"‘I exist because of we’: shielding as a communal ethic of maintaining social bonds during the COVID-19 response in Ethiopia","type":"article-journal","volume":"5"},"uris":["http://www.mendeley.com/documents/?uuid=a9609bc9-b5aa-301d-92a7-6803fe93e98f"]}],"mendeley":{"formattedCitation":"&lt;sup&gt;27&lt;/sup&gt;","plainTextFormattedCitation":"27","previouslyFormattedCitation":"&lt;sup&gt;27&lt;/sup&gt;"},"properties":{"noteIndex":0},"schema":"https://github.com/citation-style-language/schema/raw/master/csl-citation.json"}</w:instrText>
      </w:r>
      <w:r w:rsidRPr="002E1225">
        <w:fldChar w:fldCharType="separate"/>
      </w:r>
      <w:r w:rsidR="00C3176D" w:rsidRPr="002E1225">
        <w:rPr>
          <w:noProof/>
          <w:vertAlign w:val="superscript"/>
        </w:rPr>
        <w:t>27</w:t>
      </w:r>
      <w:r w:rsidRPr="002E1225">
        <w:fldChar w:fldCharType="end"/>
      </w:r>
      <w:r w:rsidRPr="002E1225">
        <w:t xml:space="preserve"> Shielding has built on existing local concepts of protection for the elderly and other vulnerable groups. Researchers have identified key groups for shielding, including older adults (60+ years) and those with serious medical conditions, estimated to be 10% of Ethiopia’s population.</w:t>
      </w:r>
      <w:r w:rsidRPr="002E1225">
        <w:fldChar w:fldCharType="begin" w:fldLock="1"/>
      </w:r>
      <w:r w:rsidR="00C3176D" w:rsidRPr="002E1225">
        <w:instrText>ADDIN CSL_CITATION {"citationItems":[{"id":"ITEM-1","itemData":{"DOI":"10.1136/bmjgh-2020-003204","abstract":"### Summary box\n\n‘When spider webs unite’, says an Ethiopian proverb, ‘they can tie up a lion’. It reflects a relational way of thinking about the world that underlies Ethiopia’s public health response to the COVID-19 pandemic. Togetherness is a fundamental value that binds this country of more than 110 million people and is embedded in deep-rooted systems that support communal life. By standing together, we become bigger than ourselves. As health policy stakeholders in Ethiopia, we believe that the only way to contain COVID-19 is to implement strategies embedded in togetherness.1\n\nThis notion of connectedness is embodied in the concept of ubuntu , which has been a guiding principle in sub-Saharan Africa for hundreds of years.2 Many great African leaders, including Desmond Tutu and Nelson Mandela, incorporated elements of ubuntu into their work.2 Ubuntu situates individuals within a web of relationships that is born of identifying with others and acting in solidarity. It is by sharing a way of life with others that individuals ‘come into existence’.3 We exist because our social connections remain strong, extending beyond family to embrace …","author":[{"dropping-particle":"","family":"Seifu Estifanos","given":"Abiy","non-dropping-particle":"","parse-names":false,"suffix":""},{"dropping-particle":"","family":"Alemu","given":"Getnet","non-dropping-particle":"","parse-names":false,"suffix":""},{"dropping-particle":"","family":"Negussie","given":"Solomon","non-dropping-particle":"","parse-names":false,"suffix":""},{"dropping-particle":"","family":"Ero","given":"Debebe","non-dropping-particle":"","parse-names":false,"suffix":""},{"dropping-particle":"","family":"Mengistu","given":"Yewondwossen","non-dropping-particle":"","parse-names":false,"suffix":""},{"dropping-particle":"","family":"Addissie","given":"Adamu","non-dropping-particle":"","parse-names":false,"suffix":""},{"dropping-particle":"","family":"Gebrehiwot","given":"Yirgu","non-dropping-particle":"","parse-names":false,"suffix":""},{"dropping-particle":"","family":"Yifter","given":"Helen","non-dropping-particle":"","parse-names":false,"suffix":""},{"dropping-particle":"","family":"Melkie","given":"Addisu","non-dropping-particle":"","parse-names":false,"suffix":""},{"dropping-particle":"","family":"Gebrekiros","given":"Damen Hailemariam","non-dropping-particle":"","parse-names":false,"suffix":""},{"dropping-particle":"","family":"Gebremariam Kotecho","given":"Messay","non-dropping-particle":"","parse-names":false,"suffix":""},{"dropping-particle":"","family":"Soklaridis","given":"Sophie","non-dropping-particle":"","parse-names":false,"suffix":""},{"dropping-particle":"","family":"Cartmill","given":"Carrie","non-dropping-particle":"","parse-names":false,"suffix":""},{"dropping-particle":"","family":"Whitehead","given":"Cynthia Ruth","non-dropping-particle":"","parse-names":false,"suffix":""},{"dropping-particle":"","family":"Wondimagegn","given":"Dawit","non-dropping-particle":"","parse-names":false,"suffix":""}],"container-title":"BMJ Global Health","id":"ITEM-1","issue":"7","issued":{"date-parts":[["2020","7","1"]]},"page":"e003204","publisher":"BMJ","title":"‘I exist because of we’: shielding as a communal ethic of maintaining social bonds during the COVID-19 response in Ethiopia","type":"article-journal","volume":"5"},"uris":["http://www.mendeley.com/documents/?uuid=a9609bc9-b5aa-301d-92a7-6803fe93e98f"]}],"mendeley":{"formattedCitation":"&lt;sup&gt;27&lt;/sup&gt;","plainTextFormattedCitation":"27","previouslyFormattedCitation":"&lt;sup&gt;27&lt;/sup&gt;"},"properties":{"noteIndex":0},"schema":"https://github.com/citation-style-language/schema/raw/master/csl-citation.json"}</w:instrText>
      </w:r>
      <w:r w:rsidRPr="002E1225">
        <w:fldChar w:fldCharType="separate"/>
      </w:r>
      <w:r w:rsidR="00C3176D" w:rsidRPr="002E1225">
        <w:rPr>
          <w:noProof/>
          <w:vertAlign w:val="superscript"/>
        </w:rPr>
        <w:t>27</w:t>
      </w:r>
      <w:r w:rsidRPr="002E1225">
        <w:fldChar w:fldCharType="end"/>
      </w:r>
      <w:r w:rsidRPr="002E1225">
        <w:t xml:space="preserve"> While the national government has not yet formally implemented shielding, regional health bureaus have instructed local-level community health workers to inform households about shielding and identify clinically vulnerable individuals. Once individuals are shielded within the home, local community groups and NGOs provide a basic level of support in the form of food, infection prevention supplies, and economic assistance. Nevertheless, shielding is a </w:t>
      </w:r>
      <w:r w:rsidR="00E1566C" w:rsidRPr="002E1225">
        <w:t xml:space="preserve">particular </w:t>
      </w:r>
      <w:r w:rsidRPr="002E1225">
        <w:t xml:space="preserve">challenge for low-income households where at-risk individuals often must leave the home to seek </w:t>
      </w:r>
      <w:r w:rsidR="00C179D4" w:rsidRPr="002E1225">
        <w:t xml:space="preserve">a </w:t>
      </w:r>
      <w:r w:rsidRPr="002E1225">
        <w:t xml:space="preserve">livelihood. The ability to shield is also limited by number of rooms and available space in the household. </w:t>
      </w:r>
    </w:p>
    <w:p w14:paraId="548BDFF9" w14:textId="77777777" w:rsidR="004B548B" w:rsidRPr="002E1225" w:rsidRDefault="004B548B" w:rsidP="004B548B">
      <w:pPr>
        <w:pStyle w:val="Heading2"/>
      </w:pPr>
      <w:r w:rsidRPr="002E1225">
        <w:t>PRACTICAL CONSIDERATIONS FOR SHIELDING</w:t>
      </w:r>
    </w:p>
    <w:p w14:paraId="2BF81859" w14:textId="3F855954" w:rsidR="004B548B" w:rsidRPr="002E1225" w:rsidRDefault="004B548B" w:rsidP="004B548B">
      <w:r w:rsidRPr="002E1225">
        <w:t xml:space="preserve">Emerging evidence on shielding in LMICs </w:t>
      </w:r>
      <w:r w:rsidR="00E17849" w:rsidRPr="002E1225">
        <w:t xml:space="preserve">and conflict-affected settings </w:t>
      </w:r>
      <w:r w:rsidRPr="002E1225">
        <w:t>reveals that it is subject to many of the same challenges as physical distancing (see the SSHAP brief on this topic).</w:t>
      </w:r>
      <w:r w:rsidRPr="002E1225">
        <w:fldChar w:fldCharType="begin" w:fldLock="1"/>
      </w:r>
      <w:r w:rsidR="00C3176D" w:rsidRPr="002E1225">
        <w:instrText>ADDIN CSL_CITATION {"citationItems":[{"id":"ITEM-1","itemData":{"author":[{"dropping-particle":"","family":"Anthrologica","given":"","non-dropping-particle":"","parse-names":false,"suffix":""}],"id":"ITEM-1","issued":{"date-parts":[["2020"]]},"title":"Compliance with Physical Distancing Measures for COVID-19 and Implications for RCCE in Eastern and Southern Africa","type":"report"},"uris":["http://www.mendeley.com/documents/?uuid=f71642df-62b9-33f9-b2c0-7e86d807ff2d"]}],"mendeley":{"formattedCitation":"&lt;sup&gt;28&lt;/sup&gt;","plainTextFormattedCitation":"28","previouslyFormattedCitation":"&lt;sup&gt;28&lt;/sup&gt;"},"properties":{"noteIndex":0},"schema":"https://github.com/citation-style-language/schema/raw/master/csl-citation.json"}</w:instrText>
      </w:r>
      <w:r w:rsidRPr="002E1225">
        <w:fldChar w:fldCharType="separate"/>
      </w:r>
      <w:r w:rsidR="00C3176D" w:rsidRPr="002E1225">
        <w:rPr>
          <w:noProof/>
          <w:vertAlign w:val="superscript"/>
        </w:rPr>
        <w:t>28</w:t>
      </w:r>
      <w:r w:rsidRPr="002E1225">
        <w:fldChar w:fldCharType="end"/>
      </w:r>
      <w:r w:rsidRPr="002E1225">
        <w:t xml:space="preserve"> Yet shielding presents unique practical and social challenges. </w:t>
      </w:r>
      <w:r w:rsidR="0092376C" w:rsidRPr="002E1225">
        <w:t>This section reviews some of the</w:t>
      </w:r>
      <w:r w:rsidR="00C179D4" w:rsidRPr="002E1225">
        <w:t>se</w:t>
      </w:r>
      <w:r w:rsidR="0092376C" w:rsidRPr="002E1225">
        <w:t xml:space="preserve"> considerations </w:t>
      </w:r>
      <w:r w:rsidR="00C179D4" w:rsidRPr="002E1225">
        <w:t xml:space="preserve">and suggests ways </w:t>
      </w:r>
      <w:r w:rsidR="0092376C" w:rsidRPr="002E1225">
        <w:t xml:space="preserve">to address </w:t>
      </w:r>
      <w:r w:rsidR="00C179D4" w:rsidRPr="002E1225">
        <w:t>them when formulating shielding strategies</w:t>
      </w:r>
      <w:r w:rsidR="0092376C" w:rsidRPr="002E1225">
        <w:t>.</w:t>
      </w:r>
    </w:p>
    <w:p w14:paraId="6C3FC86A" w14:textId="4E6EC96F" w:rsidR="004B548B" w:rsidRPr="002E1225" w:rsidRDefault="004B548B" w:rsidP="004B548B">
      <w:pPr>
        <w:rPr>
          <w:b/>
        </w:rPr>
      </w:pPr>
      <w:r w:rsidRPr="002E1225">
        <w:rPr>
          <w:b/>
        </w:rPr>
        <w:t xml:space="preserve">Trust: </w:t>
      </w:r>
      <w:r w:rsidRPr="002E1225">
        <w:t xml:space="preserve">For vulnerable people to be willing to shield, high-risk individuals and the communities they live in must trust in the public health response and the measures that are expected of them. </w:t>
      </w:r>
      <w:r w:rsidR="002B72B8">
        <w:t>T</w:t>
      </w:r>
      <w:r w:rsidRPr="002E1225">
        <w:t>rust in the health system and relevant authorities drives uptake of public health measures</w:t>
      </w:r>
      <w:r w:rsidRPr="002E1225">
        <w:fldChar w:fldCharType="begin" w:fldLock="1"/>
      </w:r>
      <w:r w:rsidR="00C3176D" w:rsidRPr="002E1225">
        <w:instrText>ADDIN CSL_CITATION {"citationItems":[{"id":"ITEM-1","itemData":{"DOI":"10.1080/09581596.2016.1252034","ISSN":"0958-1596","abstract":"Sierra Leone and Guinea share broadly similar cultural worlds, straddling the societies of the Upper Guinea Coast with Islamic West Africa. There was, however, a notable difference in their reactions to the Ebola epidemic. As the epidemic spread in Guinea, acts of violent or everyday resistance to outbreak control measures repeatedly followed, undermining public health attempts to contain the crisis. In Sierra Leone, defiant resistance was rarer. Instead of looking to ‘culture’ to explain patterns of social resistance (as was common in the media and in the discourse of responding public health authorities) a comparison between Sierra Leone and Guinea suggests that explanations lie in divergent political practice and lived experiences of the state. In particular the structures of state authority through which the national epidemic response were organised integrated very differently with trusted institutions in each country. Predicting and addressing social responses to epidemic control measures should assess such political-trust configurations when planning interventions.","author":[{"dropping-particle":"","family":"Wilkinson","given":"Annie","non-dropping-particle":"","parse-names":false,"suffix":""},{"dropping-particle":"","family":"Fairhead","given":"James","non-dropping-particle":"","parse-names":false,"suffix":""}],"container-title":"Critical Public Health","id":"ITEM-1","issue":"1","issued":{"date-parts":[["2017","1","9"]]},"page":"14-27","publisher":"Routledge","title":"Comparison of social resistance to Ebola response in Sierra Leone and Guinea suggests explanations lie in political configurations not culture","type":"article-journal","volume":"27"},"uris":["http://www.mendeley.com/documents/?uuid=b2da5992-f1eb-3ae9-a9ee-b5cb19bc65f3"]}],"mendeley":{"formattedCitation":"&lt;sup&gt;29&lt;/sup&gt;","plainTextFormattedCitation":"29","previouslyFormattedCitation":"&lt;sup&gt;29&lt;/sup&gt;"},"properties":{"noteIndex":0},"schema":"https://github.com/citation-style-language/schema/raw/master/csl-citation.json"}</w:instrText>
      </w:r>
      <w:r w:rsidRPr="002E1225">
        <w:fldChar w:fldCharType="separate"/>
      </w:r>
      <w:r w:rsidR="00C3176D" w:rsidRPr="002E1225">
        <w:rPr>
          <w:noProof/>
          <w:vertAlign w:val="superscript"/>
        </w:rPr>
        <w:t>29</w:t>
      </w:r>
      <w:r w:rsidRPr="002E1225">
        <w:fldChar w:fldCharType="end"/>
      </w:r>
      <w:r w:rsidRPr="002E1225">
        <w:rPr>
          <w:vertAlign w:val="superscript"/>
        </w:rPr>
        <w:t xml:space="preserve">, </w:t>
      </w:r>
      <w:r w:rsidRPr="002E1225">
        <w:fldChar w:fldCharType="begin" w:fldLock="1"/>
      </w:r>
      <w:r w:rsidR="00C3176D" w:rsidRPr="002E1225">
        <w:instrText>ADDIN CSL_CITATION {"citationItems":[{"id":"ITEM-1","itemData":{"author":[{"dropping-particle":"","family":"Bargain","given":"O.","non-dropping-particle":"","parse-names":false,"suffix":""},{"dropping-particle":"","family":"Aminjonov","given":"U.","non-dropping-particle":"","parse-names":false,"suffix":""}],"collection-title":"IZA Discussion Paper No. 13205, Available at SSRN","id":"ITEM-1","issued":{"date-parts":[["2020"]]},"title":"Trust and Compliance to Public Health Policies in Times of Covid-19","type":"report"},"uris":["http://www.mendeley.com/documents/?uuid=be577613-fb06-30ad-aa63-93942e910757"]}],"mendeley":{"formattedCitation":"&lt;sup&gt;30&lt;/sup&gt;","plainTextFormattedCitation":"30","previouslyFormattedCitation":"&lt;sup&gt;30&lt;/sup&gt;"},"properties":{"noteIndex":0},"schema":"https://github.com/citation-style-language/schema/raw/master/csl-citation.json"}</w:instrText>
      </w:r>
      <w:r w:rsidRPr="002E1225">
        <w:fldChar w:fldCharType="separate"/>
      </w:r>
      <w:r w:rsidR="00C3176D" w:rsidRPr="002E1225">
        <w:rPr>
          <w:noProof/>
          <w:vertAlign w:val="superscript"/>
        </w:rPr>
        <w:t>30</w:t>
      </w:r>
      <w:r w:rsidRPr="002E1225">
        <w:fldChar w:fldCharType="end"/>
      </w:r>
      <w:r w:rsidRPr="002E1225">
        <w:t xml:space="preserve"> and has emphasised the need to better understand the wider political and economic context of trust.</w:t>
      </w:r>
      <w:r w:rsidRPr="002E1225">
        <w:fldChar w:fldCharType="begin" w:fldLock="1"/>
      </w:r>
      <w:r w:rsidR="00C3176D" w:rsidRPr="002E1225">
        <w:instrText>ADDIN CSL_CITATION {"citationItems":[{"id":"ITEM-1","itemData":{"DOI":"10.1146/annurev-anthro-102116-041616","ISSN":"0084-6570","abstract":"Anthropology's response to the West African Ebola epidemic was one of the most rapid and expansive anthropological interventions to a global health emergency in the discipline's history. This article sets forth the size and scale of the anthropological response and describes the protagonists, interventions, and priorities for anthropological engagement. It takes an inclusive approach to anthropological praxis by engaging with the work of nonanthropologist “allies,” including qualitative researchers, social workers, and allied experts. The article narrates how the concept of “anthropology” came to serve as a semantic marker of solidarity with local populations, respect for customary practices and local sociopolitical realities, and an avowed belief in the capacities of local populations to lead localized epidemic prevention and response efforts. Of particular consideration is the range of complementary and conflicting epistemological, professional, and critical engagements held by anthropologists. The article also discusses how to assess anthropological “impact” in epidemics. ","author":[{"dropping-particle":"","family":"Abramowitz","given":"Sharon","non-dropping-particle":"","parse-names":false,"suffix":""}],"container-title":"Annual Review of Anthropology","id":"ITEM-1","issue":"1","issued":{"date-parts":[["2017","10","23"]]},"page":"421-445","publisher":"Annual Reviews","title":"Epidemics (Especially Ebola)","type":"article-journal","volume":"46"},"uris":["http://www.mendeley.com/documents/?uuid=977073d9-58bc-3568-ab9f-14e772e84162"]}],"mendeley":{"formattedCitation":"&lt;sup&gt;31&lt;/sup&gt;","plainTextFormattedCitation":"31","previouslyFormattedCitation":"&lt;sup&gt;31&lt;/sup&gt;"},"properties":{"noteIndex":0},"schema":"https://github.com/citation-style-language/schema/raw/master/csl-citation.json"}</w:instrText>
      </w:r>
      <w:r w:rsidRPr="002E1225">
        <w:fldChar w:fldCharType="separate"/>
      </w:r>
      <w:r w:rsidR="00C3176D" w:rsidRPr="002E1225">
        <w:rPr>
          <w:noProof/>
          <w:vertAlign w:val="superscript"/>
        </w:rPr>
        <w:t>31</w:t>
      </w:r>
      <w:r w:rsidRPr="002E1225">
        <w:fldChar w:fldCharType="end"/>
      </w:r>
      <w:r w:rsidRPr="002E1225">
        <w:rPr>
          <w:b/>
          <w:bCs/>
        </w:rPr>
        <w:t xml:space="preserve"> To</w:t>
      </w:r>
      <w:r w:rsidRPr="002E1225">
        <w:rPr>
          <w:b/>
        </w:rPr>
        <w:t xml:space="preserve"> enable effective shielding, trusted community and institutional actors should be identified and sufficiently supported and engaged in the decision-making processes and in implementation.</w:t>
      </w:r>
      <w:r w:rsidRPr="002E1225">
        <w:rPr>
          <w:b/>
        </w:rPr>
        <w:fldChar w:fldCharType="begin" w:fldLock="1"/>
      </w:r>
      <w:r w:rsidR="00EE6861" w:rsidRPr="002E1225">
        <w:rPr>
          <w:b/>
        </w:rPr>
        <w:instrText>ADDIN CSL_CITATION {"citationItems":[{"id":"ITEM-1","itemData":{"author":[{"dropping-particle":"","family":"Butler","given":"Nadia","non-dropping-particle":"","parse-names":false,"suffix":""},{"dropping-particle":"","family":"Tulloch","given":"Olivia","non-dropping-particle":"","parse-names":false,"suffix":""}],"id":"ITEM-1","issued":{"date-parts":[["2020"]]},"title":"Considerations and Principles for Shielding People at High Risk of Severe Outcomes from COVID-19","type":"report"},"uris":["http://www.mendeley.com/documents/?uuid=adb7b963-20b3-31fd-a678-6200380e6d47"]}],"mendeley":{"formattedCitation":"&lt;sup&gt;1&lt;/sup&gt;","plainTextFormattedCitation":"1","previouslyFormattedCitation":"&lt;sup&gt;1&lt;/sup&gt;"},"properties":{"noteIndex":0},"schema":"https://github.com/citation-style-language/schema/raw/master/csl-citation.json"}</w:instrText>
      </w:r>
      <w:r w:rsidRPr="002E1225">
        <w:rPr>
          <w:b/>
        </w:rPr>
        <w:fldChar w:fldCharType="separate"/>
      </w:r>
      <w:r w:rsidR="003227D2" w:rsidRPr="002E1225">
        <w:rPr>
          <w:noProof/>
          <w:vertAlign w:val="superscript"/>
        </w:rPr>
        <w:t>1</w:t>
      </w:r>
      <w:r w:rsidRPr="002E1225">
        <w:rPr>
          <w:b/>
        </w:rPr>
        <w:fldChar w:fldCharType="end"/>
      </w:r>
    </w:p>
    <w:p w14:paraId="1639A55D" w14:textId="0B327B2C" w:rsidR="00D52FBB" w:rsidRPr="002E1225" w:rsidRDefault="004B548B" w:rsidP="00D52FBB">
      <w:r w:rsidRPr="002E1225">
        <w:rPr>
          <w:b/>
        </w:rPr>
        <w:t xml:space="preserve">Risk identification and communication: </w:t>
      </w:r>
      <w:r w:rsidRPr="002E1225">
        <w:t xml:space="preserve"> </w:t>
      </w:r>
      <w:r w:rsidR="00304F29" w:rsidRPr="002E1225">
        <w:t>A</w:t>
      </w:r>
      <w:r w:rsidRPr="002E1225">
        <w:t>doption of preventive health behaviours</w:t>
      </w:r>
      <w:r w:rsidR="00304F29" w:rsidRPr="002E1225">
        <w:t xml:space="preserve"> is correlated with </w:t>
      </w:r>
      <w:r w:rsidR="003A086E" w:rsidRPr="002E1225">
        <w:t>p</w:t>
      </w:r>
      <w:r w:rsidR="00304F29" w:rsidRPr="002E1225">
        <w:t>erceived risk of COVID-19</w:t>
      </w:r>
      <w:r w:rsidRPr="002E1225">
        <w:t>.</w:t>
      </w:r>
      <w:r w:rsidRPr="002E1225">
        <w:fldChar w:fldCharType="begin" w:fldLock="1"/>
      </w:r>
      <w:r w:rsidR="00C3176D" w:rsidRPr="002E1225">
        <w:instrText>ADDIN CSL_CITATION {"citationItems":[{"id":"ITEM-1","itemData":{"DOI":"10.1080/13669877.2020.1758193","ISSN":"14664461","abstract":"The World Health Organization has declared the rapid spread of COVID-19 around the world a global public health emergency. It is well-known that the spread of the disease is influenced by people’s willingness to adopt preventative public health behaviors, which are often associated with public risk perception. In this study, we present the first assessment of public risk perception of COVID-19 around the world using national samples (total N = 6,991) in ten countries across Europe, America, and Asia. We find that although levels of concern are relatively high, they are highest in the UK compared to all other sampled countries. Pooled across countries, personal experience with the virus, individualistic and prosocial values, hearing about the virus from friends and family, trust in government, science, and medical professionals, personal knowledge of government strategy, and personal and collective efficacy were all significant predictors of risk perception. Although there was substantial variability across cultures, individualistic worldviews, personal experience, prosocial values, and social amplification through friends and family in particular were found to be significant determinants in more than half of the countries examined. Risk perception correlated significantly with reported adoption of preventative health behaviors in all ten countries. Implications for effective risk communication are discussed.","author":[{"dropping-particle":"","family":"Dryhurst","given":"Sarah","non-dropping-particle":"","parse-names":false,"suffix":""},{"dropping-particle":"","family":"Schneider","given":"Claudia R.","non-dropping-particle":"","parse-names":false,"suffix":""},{"dropping-particle":"","family":"Kerr","given":"John","non-dropping-particle":"","parse-names":false,"suffix":""},{"dropping-particle":"","family":"Freeman","given":"Alexandra L.J.","non-dropping-particle":"","parse-names":false,"suffix":""},{"dropping-particle":"","family":"Recchia","given":"Gabriel","non-dropping-particle":"","parse-names":false,"suffix":""},{"dropping-particle":"","family":"Bles","given":"Anne Marthe","non-dropping-particle":"van der","parse-names":false,"suffix":""},{"dropping-particle":"","family":"Spiegelhalter","given":"David","non-dropping-particle":"","parse-names":false,"suffix":""},{"dropping-particle":"","family":"Linden","given":"Sander","non-dropping-particle":"van der","parse-names":false,"suffix":""}],"container-title":"Journal of Risk Research","id":"ITEM-1","issued":{"date-parts":[["2020","5","5"]]},"page":"1-13","publisher":"Routledge","title":"Risk perceptions of COVID-19 around the world","type":"article-journal"},"uris":["http://www.mendeley.com/documents/?uuid=2593c7d2-178e-359d-8d50-0ef4dfa5a468"]}],"mendeley":{"formattedCitation":"&lt;sup&gt;32&lt;/sup&gt;","plainTextFormattedCitation":"32","previouslyFormattedCitation":"&lt;sup&gt;32&lt;/sup&gt;"},"properties":{"noteIndex":0},"schema":"https://github.com/citation-style-language/schema/raw/master/csl-citation.json"}</w:instrText>
      </w:r>
      <w:r w:rsidRPr="002E1225">
        <w:fldChar w:fldCharType="separate"/>
      </w:r>
      <w:r w:rsidR="00C3176D" w:rsidRPr="002E1225">
        <w:rPr>
          <w:noProof/>
          <w:vertAlign w:val="superscript"/>
        </w:rPr>
        <w:t>32</w:t>
      </w:r>
      <w:r w:rsidRPr="002E1225">
        <w:fldChar w:fldCharType="end"/>
      </w:r>
      <w:r w:rsidRPr="002E1225">
        <w:t xml:space="preserve"> As the above evidence highlights, perceptions of COVID-19 risk are extremely variable between and within communities.   As a consequence, risk communication should be tailored to the local context, to correct misconceptions about COVID-19</w:t>
      </w:r>
      <w:r w:rsidRPr="002E1225">
        <w:fldChar w:fldCharType="begin" w:fldLock="1"/>
      </w:r>
      <w:r w:rsidR="00C3176D" w:rsidRPr="002E1225">
        <w:instrText>ADDIN CSL_CITATION {"citationItems":[{"id":"ITEM-1","itemData":{"URL":"https://www.paho.org/en/news/4-3-2020-communicating-risks-health-posed-covid-19-key-protecting-populations-and-mitigating","accessed":{"date-parts":[["2020","7","10"]]},"container-title":"Pan American Health Organization","id":"ITEM-1","issued":{"date-parts":[["2020"]]},"title":"Communicating the risks to health posed by COVID-19 is key to protecting populations and mitigating spread","type":"webpage"},"uris":["http://www.mendeley.com/documents/?uuid=71bf88ef-49e0-3824-be62-975d6b2d69de"]}],"mendeley":{"formattedCitation":"&lt;sup&gt;33&lt;/sup&gt;","plainTextFormattedCitation":"33","previouslyFormattedCitation":"&lt;sup&gt;33&lt;/sup&gt;"},"properties":{"noteIndex":0},"schema":"https://github.com/citation-style-language/schema/raw/master/csl-citation.json"}</w:instrText>
      </w:r>
      <w:r w:rsidRPr="002E1225">
        <w:fldChar w:fldCharType="separate"/>
      </w:r>
      <w:r w:rsidR="00C3176D" w:rsidRPr="002E1225">
        <w:rPr>
          <w:noProof/>
          <w:vertAlign w:val="superscript"/>
        </w:rPr>
        <w:t>33</w:t>
      </w:r>
      <w:r w:rsidRPr="002E1225">
        <w:fldChar w:fldCharType="end"/>
      </w:r>
      <w:r w:rsidRPr="002E1225">
        <w:t xml:space="preserve"> and accurately communicate risk</w:t>
      </w:r>
      <w:r w:rsidR="00F16959" w:rsidRPr="002E1225">
        <w:t xml:space="preserve"> via </w:t>
      </w:r>
      <w:r w:rsidR="002D0DB7" w:rsidRPr="002E1225">
        <w:t>preferred media</w:t>
      </w:r>
      <w:r w:rsidR="00F16959" w:rsidRPr="002E1225">
        <w:t xml:space="preserve"> (e.g. radio, posters)</w:t>
      </w:r>
      <w:r w:rsidRPr="002E1225">
        <w:t>.  In addition, rather than focusing solely on biomedical risks, communities may want to consider multidimensional risk assessments</w:t>
      </w:r>
      <w:r w:rsidRPr="002E1225">
        <w:fldChar w:fldCharType="begin" w:fldLock="1"/>
      </w:r>
      <w:r w:rsidR="00C3176D" w:rsidRPr="002E1225">
        <w:instrText>ADDIN CSL_CITATION {"citationItems":[{"id":"ITEM-1","itemData":{"DOI":"10.1016/j.pdisas.2020.100090","ISSN":"25900617","abstract":"Corona Virus (CODID-19) was first reported in Wuhan in December 2019, then spread in different parts of China, and gradually became a global pandemic in March 2020. While the death toll is still increasing, the epicenter of casualty has shifted from Asia to Europe, and that of the affected people has shifted to USA. This paper analyzes the responses in East Asian countries, in China, Japan and South Korea, and provides some commonalities and lessons. While countries have different governance mechanism, it was found that a few governance decisions in respective countries made a difference, along with strong community solidarity and community behavior. Extensive use of emerging technologies is made along with medical/health care treatment to make the response more effective and reduce the risk of the spread of the disease. Although the pandemic was a global one, its responses were local, depending on the local governance, socio-economic and cultural context.","author":[{"dropping-particle":"","family":"Shaw","given":"Rajib","non-dropping-particle":"","parse-names":false,"suffix":""},{"dropping-particle":"","family":"Kim","given":"Yong-kyun","non-dropping-particle":"","parse-names":false,"suffix":""},{"dropping-particle":"","family":"Hua","given":"Jinling","non-dropping-particle":"","parse-names":false,"suffix":""}],"container-title":"Progress in Disaster Science","id":"ITEM-1","issued":{"date-parts":[["2020","4","1"]]},"page":"100090","publisher":"Elsevier BV","title":"Governance, technology and citizen behavior in pandemic: Lessons from COVID-19 in East Asia","type":"article-journal","volume":"6"},"uris":["http://www.mendeley.com/documents/?uuid=1aa9161e-e861-34d6-945a-e3e42d1ee60d"]}],"mendeley":{"formattedCitation":"&lt;sup&gt;34&lt;/sup&gt;","plainTextFormattedCitation":"34","previouslyFormattedCitation":"&lt;sup&gt;34&lt;/sup&gt;"},"properties":{"noteIndex":0},"schema":"https://github.com/citation-style-language/schema/raw/master/csl-citation.json"}</w:instrText>
      </w:r>
      <w:r w:rsidRPr="002E1225">
        <w:fldChar w:fldCharType="separate"/>
      </w:r>
      <w:r w:rsidR="00C3176D" w:rsidRPr="002E1225">
        <w:rPr>
          <w:noProof/>
          <w:vertAlign w:val="superscript"/>
        </w:rPr>
        <w:t>34</w:t>
      </w:r>
      <w:r w:rsidRPr="002E1225">
        <w:fldChar w:fldCharType="end"/>
      </w:r>
      <w:r w:rsidRPr="002E1225">
        <w:t xml:space="preserve"> using tools, like one developed by RIKA India, that can be tailored to context to assess risk along key factors like health, behaviour, exposure, and social policy.</w:t>
      </w:r>
      <w:r w:rsidRPr="002E1225">
        <w:fldChar w:fldCharType="begin" w:fldLock="1"/>
      </w:r>
      <w:r w:rsidR="00C3176D" w:rsidRPr="002E1225">
        <w:instrText>ADDIN CSL_CITATION {"citationItems":[{"id":"ITEM-1","itemData":{"DOI":"10.1016/j.pdisas.2020.100109","ISSN":"25900617","abstract":"Risk awareness is the best way to prevent and slow-down the transmission of the COVID-19 pandemic. Risk awareness is achieved through communication of risk assessment. Effective risk communication is an important measure to control the infodemic. Most risk assessment tools focus on either tracking the affected patients or diagnosing a probable health condition through symptoms. RIKA India introduces an innovative Risk Assessment Tool which goes beyond the symptom detection and patient tracking. It includes four factors in assessment of risk: Health, Behaviour, Exposure and Social Policy. Each of these four factors have sub-factors which help to assess the overall risk in a more comprehensive way and also present it to the user in a simplified way. The paper discusses the importance of the Risk Assessment Tool for awareness generation and decision making. Further, the datasets generated through the tool have been analysed to understand the key intervention areas for COVID-19 response and management.","author":[{"dropping-particle":"","family":"Chatterjee","given":"Ranit","non-dropping-particle":"","parse-names":false,"suffix":""},{"dropping-particle":"","family":"Bajwa","given":"Sukhreet","non-dropping-particle":"","parse-names":false,"suffix":""},{"dropping-particle":"","family":"Dwivedi","given":"Disha","non-dropping-particle":"","parse-names":false,"suffix":""},{"dropping-particle":"","family":"Kanji","given":"Repaul","non-dropping-particle":"","parse-names":false,"suffix":""},{"dropping-particle":"","family":"Ahammed","given":"Moniruddin","non-dropping-particle":"","parse-names":false,"suffix":""},{"dropping-particle":"","family":"Shaw","given":"Rajib","non-dropping-particle":"","parse-names":false,"suffix":""}],"container-title":"Progress in Disaster Science","id":"ITEM-1","issued":{"date-parts":[["2020","10","1"]]},"page":"100109","publisher":"Elsevier BV","title":"COVID-19 Risk Assessment Tool: Dual application of risk communication and risk governance","type":"article-journal","volume":"7"},"uris":["http://www.mendeley.com/documents/?uuid=a8c22e49-e18a-343a-91c7-1060bf4cb298"]}],"mendeley":{"formattedCitation":"&lt;sup&gt;35&lt;/sup&gt;","plainTextFormattedCitation":"35","previouslyFormattedCitation":"&lt;sup&gt;35&lt;/sup&gt;"},"properties":{"noteIndex":0},"schema":"https://github.com/citation-style-language/schema/raw/master/csl-citation.json"}</w:instrText>
      </w:r>
      <w:r w:rsidRPr="002E1225">
        <w:fldChar w:fldCharType="separate"/>
      </w:r>
      <w:r w:rsidR="00C3176D" w:rsidRPr="002E1225">
        <w:rPr>
          <w:noProof/>
          <w:vertAlign w:val="superscript"/>
        </w:rPr>
        <w:t>35</w:t>
      </w:r>
      <w:r w:rsidRPr="002E1225">
        <w:fldChar w:fldCharType="end"/>
      </w:r>
      <w:r w:rsidRPr="002E1225">
        <w:t xml:space="preserve"> </w:t>
      </w:r>
      <w:r w:rsidR="0082070D">
        <w:t xml:space="preserve">Shielding may also present additional risks, such as abuse, in certain vulnerable groups. </w:t>
      </w:r>
      <w:r w:rsidR="0082070D" w:rsidRPr="0082070D">
        <w:t>In Colombia, GBV reports increased by 175% compared to the past year.</w:t>
      </w:r>
      <w:r w:rsidR="0082070D" w:rsidRPr="0082070D">
        <w:fldChar w:fldCharType="begin" w:fldLock="1"/>
      </w:r>
      <w:r w:rsidR="0082070D" w:rsidRPr="0082070D">
        <w:instrText>ADDIN CSL_CITATION {"citationItems":[{"id":"ITEM-1","itemData":{"DOI":"10.1016/S0140-6736(20)31679-2","ISSN":"01406736","author":[{"dropping-particle":"","family":"Cousins","given":"Sophie","non-dropping-particle":"","parse-names":false,"suffix":""}],"container-title":"The Lancet","id":"ITEM-1","issue":"10247","issued":{"date-parts":[["2020","8","1"]]},"page":"301-302","publisher":"Elsevier","title":"COVID-19 has “devastating” effect on women and girls","type":"article-journal","volume":"396"},"uris":["http://www.mendeley.com/documents/?uuid=1e82868e-897c-3b28-b52f-791af60ab487"]}],"mendeley":{"formattedCitation":"&lt;sup&gt;47&lt;/sup&gt;","plainTextFormattedCitation":"47","previouslyFormattedCitation":"&lt;sup&gt;47&lt;/sup&gt;"},"properties":{"noteIndex":0},"schema":"https://github.com/citation-style-language/schema/raw/master/csl-citation.json"}</w:instrText>
      </w:r>
      <w:r w:rsidR="0082070D" w:rsidRPr="0082070D">
        <w:fldChar w:fldCharType="separate"/>
      </w:r>
      <w:r w:rsidR="0082070D" w:rsidRPr="0082070D">
        <w:rPr>
          <w:noProof/>
          <w:vertAlign w:val="superscript"/>
        </w:rPr>
        <w:t>47</w:t>
      </w:r>
      <w:r w:rsidR="0082070D" w:rsidRPr="0082070D">
        <w:fldChar w:fldCharType="end"/>
      </w:r>
      <w:r w:rsidR="0082070D" w:rsidRPr="0082070D">
        <w:t xml:space="preserve"> A survey in India found that 71% of elderly respondents felt that cases of abuse against them increased during the COVID-19 lockdown.</w:t>
      </w:r>
      <w:r w:rsidR="0082070D" w:rsidRPr="0082070D">
        <w:fldChar w:fldCharType="begin" w:fldLock="1"/>
      </w:r>
      <w:r w:rsidR="0082070D" w:rsidRPr="0082070D">
        <w:instrText>ADDIN CSL_CITATION {"citationItems":[{"id":"ITEM-1","itemData":{"author":[{"dropping-particle":"","family":"Pandit","given":"Ambika","non-dropping-particle":"","parse-names":false,"suffix":""}],"container-title":"Times of India","id":"ITEM-1","issued":{"date-parts":[["2020","6","15"]]},"title":"Abuse has increased during lockdown, say 71% of elderly","type":"article-newspaper"},"uris":["http://www.mendeley.com/documents/?uuid=1b9c5b35-60f5-3f0b-a849-873568f91554"]}],"mendeley":{"formattedCitation":"&lt;sup&gt;48&lt;/sup&gt;","plainTextFormattedCitation":"48","previouslyFormattedCitation":"&lt;sup&gt;48&lt;/sup&gt;"},"properties":{"noteIndex":0},"schema":"https://github.com/citation-style-language/schema/raw/master/csl-citation.json"}</w:instrText>
      </w:r>
      <w:r w:rsidR="0082070D" w:rsidRPr="0082070D">
        <w:fldChar w:fldCharType="separate"/>
      </w:r>
      <w:r w:rsidR="0082070D" w:rsidRPr="0082070D">
        <w:rPr>
          <w:noProof/>
          <w:vertAlign w:val="superscript"/>
        </w:rPr>
        <w:t>48</w:t>
      </w:r>
      <w:r w:rsidR="0082070D" w:rsidRPr="0082070D">
        <w:fldChar w:fldCharType="end"/>
      </w:r>
      <w:r w:rsidR="0082070D">
        <w:t xml:space="preserve"> </w:t>
      </w:r>
      <w:r w:rsidR="00D52FBB" w:rsidRPr="002E1225">
        <w:rPr>
          <w:b/>
        </w:rPr>
        <w:t>Community involvement in the design and implementation would require planning shielding locations, designing shielding arrangements, enabling support for the shielded, and so on. To complement this, governments, humanitarian actors, task forces, and local authorities can serve as coordinating mechanisms and provide socioeconomic support for shielded families.</w:t>
      </w:r>
      <w:r w:rsidR="00D52FBB" w:rsidRPr="002E1225">
        <w:t xml:space="preserve"> </w:t>
      </w:r>
    </w:p>
    <w:p w14:paraId="0A5300DA" w14:textId="2E845A78" w:rsidR="004B548B" w:rsidRPr="002E1225" w:rsidRDefault="004B548B" w:rsidP="004B548B">
      <w:r w:rsidRPr="002E1225">
        <w:rPr>
          <w:b/>
        </w:rPr>
        <w:t>Communit</w:t>
      </w:r>
      <w:r w:rsidR="00CA5ED9" w:rsidRPr="002E1225">
        <w:rPr>
          <w:b/>
        </w:rPr>
        <w:t>y-driven shielding</w:t>
      </w:r>
      <w:r w:rsidRPr="002E1225">
        <w:rPr>
          <w:b/>
        </w:rPr>
        <w:t xml:space="preserve">: </w:t>
      </w:r>
      <w:r w:rsidRPr="002E1225">
        <w:t xml:space="preserve"> </w:t>
      </w:r>
      <w:r w:rsidR="002B72B8">
        <w:t>A</w:t>
      </w:r>
      <w:r w:rsidRPr="002E1225">
        <w:t>pproaches to shielding should be driven by</w:t>
      </w:r>
      <w:r w:rsidR="00EC2E48" w:rsidRPr="002E1225">
        <w:t xml:space="preserve"> and co-designed with </w:t>
      </w:r>
      <w:r w:rsidRPr="002E1225">
        <w:t>communities rather than imposed from above,</w:t>
      </w:r>
      <w:r w:rsidRPr="002E1225">
        <w:fldChar w:fldCharType="begin" w:fldLock="1"/>
      </w:r>
      <w:r w:rsidR="00EE6861" w:rsidRPr="002E1225">
        <w:instrText>ADDIN CSL_CITATION {"citationItems":[{"id":"ITEM-1","itemData":{"author":[{"dropping-particle":"","family":"Favas","given":"C.","non-dropping-particle":"","parse-names":false,"suffix":""},{"dropping-particle":"","family":"Checchi","given":"F.","non-dropping-particle":"","parse-names":false,"suffix":""},{"dropping-particle":"","family":"Waldman","given":"R. J.","non-dropping-particle":"","parse-names":false,"suffix":""}],"id":"ITEM-1","issued":{"date-parts":[["2020"]]},"title":"Guidance for the prevention of COVID-19 infections among high-risk individuals in urban settings","type":"report"},"uris":["http://www.mendeley.com/documents/?uuid=4290db6f-8e07-4166-87dd-294fe060027a"]}],"mendeley":{"formattedCitation":"&lt;sup&gt;4&lt;/sup&gt;","plainTextFormattedCitation":"4","previouslyFormattedCitation":"&lt;sup&gt;4&lt;/sup&gt;"},"properties":{"noteIndex":0},"schema":"https://github.com/citation-style-language/schema/raw/master/csl-citation.json"}</w:instrText>
      </w:r>
      <w:r w:rsidRPr="002E1225">
        <w:fldChar w:fldCharType="separate"/>
      </w:r>
      <w:r w:rsidR="003227D2" w:rsidRPr="002E1225">
        <w:rPr>
          <w:noProof/>
          <w:vertAlign w:val="superscript"/>
        </w:rPr>
        <w:t>4</w:t>
      </w:r>
      <w:r w:rsidRPr="002E1225">
        <w:fldChar w:fldCharType="end"/>
      </w:r>
      <w:r w:rsidRPr="002E1225">
        <w:t xml:space="preserve"> and should recognise local dynamics and </w:t>
      </w:r>
      <w:r w:rsidR="000B3A46" w:rsidRPr="002E1225">
        <w:t xml:space="preserve">practical </w:t>
      </w:r>
      <w:r w:rsidRPr="002E1225">
        <w:t>realities</w:t>
      </w:r>
      <w:r w:rsidR="00EC2E48" w:rsidRPr="002E1225">
        <w:t>.</w:t>
      </w:r>
      <w:r w:rsidRPr="002E1225">
        <w:t xml:space="preserve"> </w:t>
      </w:r>
      <w:r w:rsidR="00EC2E48" w:rsidRPr="002E1225">
        <w:t>C</w:t>
      </w:r>
      <w:r w:rsidRPr="002E1225">
        <w:t>ommunity engagement should be in place from the early stages of response planning</w:t>
      </w:r>
      <w:r w:rsidR="00EC2E48" w:rsidRPr="002E1225">
        <w:t>;</w:t>
      </w:r>
      <w:r w:rsidRPr="002E1225">
        <w:fldChar w:fldCharType="begin" w:fldLock="1"/>
      </w:r>
      <w:r w:rsidR="00C3176D" w:rsidRPr="002E1225">
        <w:instrText>ADDIN CSL_CITATION {"citationItems":[{"id":"ITEM-1","itemData":{"author":[{"dropping-particle":"","family":"Farrington","given":"Michelle","non-dropping-particle":"","parse-names":false,"suffix":""},{"dropping-particle":"","family":"Fal Dutra Santos","given":"Ricardo","non-dropping-particle":"","parse-names":false,"suffix":""}],"id":"ITEM-1","issued":{"date-parts":[["2020"]]},"title":"Community Engagement During Covid-19: A guide for community facing staff","type":"report"},"uris":["http://www.mendeley.com/documents/?uuid=8e6f964e-7937-4eec-88c7-ed21cee0a19e"]},{"id":"ITEM-2","itemData":{"DOI":"10.1080/10810730.2016.1212130","ISSN":"1081-0730","abstract":"This article describes the development of standard operating procedures (SOPs) for social mobilization and community engagement (SM/CE) in Sierra Leone during the Ebola outbreak of 2014–2015. It aims to (a) explain the rationale for a standardized approach, (b) describe the methodology used to develop the resulting SOPs, and (c) discuss the implications of the SOPs for future outbreak responses. Mixed methodologies were applied, including analysis of data on Ebola-related knowledge, attitudes, and practices; consultation through a national forum; and a series of workshops with more than 250 participants active in SM/CE in seven districts with recent confirmed cases. Specific challenges, best practices, and operational models were identified in relation to (a) the quality of SM/CE approaches; (b) coordination and operational structures; and (c) integration with Ebola services, including case management, burials, quarantine, and surveillance. This information was synthesized and codified into the SOPs, which include principles, roles, and actions for partners engaging in SM/CE as part of the Ebola response. This experience points to the need for a set of global principles and standards for meaningful SM/CE that can be rapidly adapted as a high-priority response component at the outset of future health and humanitarian crises.","author":[{"dropping-particle":"","family":"Pedi","given":"Danielle","non-dropping-particle":"","parse-names":false,"suffix":""},{"dropping-particle":"","family":"Gillespie","given":"Amaya","non-dropping-particle":"","parse-names":false,"suffix":""},{"dropping-particle":"","family":"Bedson","given":"Jamie","non-dropping-particle":"","parse-names":false,"suffix":""},{"dropping-particle":"","family":"Jalloh","given":"Mohamed F.","non-dropping-particle":"","parse-names":false,"suffix":""},{"dropping-particle":"","family":"Jalloh","given":"Mohammad B.","non-dropping-particle":"","parse-names":false,"suffix":""},{"dropping-particle":"","family":"Kamara","given":"Alusine","non-dropping-particle":"","parse-names":false,"suffix":""},{"dropping-particle":"","family":"Bertram","given":"Kathryn","non-dropping-particle":"","parse-names":false,"suffix":""},{"dropping-particle":"","family":"Owen","given":"Katharine","non-dropping-particle":"","parse-names":false,"suffix":""},{"dropping-particle":"","family":"Jalloh","given":"Mohamed A.","non-dropping-particle":"","parse-names":false,"suffix":""},{"dropping-particle":"","family":"Conte","given":"Lansana","non-dropping-particle":"","parse-names":false,"suffix":""}],"container-title":"Journal of Health Communication","id":"ITEM-2","issue":"sup1","issued":{"date-parts":[["2017","3","30"]]},"page":"39-50","publisher":"Taylor and Francis Inc.","title":"The Development of Standard Operating Procedures for Social Mobilization and Community Engagement in Sierra Leone During the West Africa Ebola Outbreak of 2014–2015","type":"article-journal","volume":"22"},"uris":["http://www.mendeley.com/documents/?uuid=cddbe5da-37e7-3851-9a0a-b7e631f84398"]},{"id":"ITEM-3","itemData":{"DOI":"10.1098/rstb.2016.0305","ISSN":"0962-8436","abstract":"The recent Ebola epidemic in West Africa highlights how engaging with the sociocultural dimensions of epidemics is critical to mounting an effective outbreak response. Community engagement was pivotal to ending the epidemic and will be to post-Ebola recovery, health system strengthening and future epidemic preparedness and response. Extensive literatures in the social sciences have emphasized how simple notions of community, which project solidarity onto complex hierarchies and politics, can lead to ineffective policies and unintended consequences at the local level, including doing harm to vulnerable populations. This article reflects on the nature of community engagement during the Ebola epidemic and demonstrates a disjuncture between local realities and what is being imagined in post-Ebola reports about the lessons that need to be learned for the future. We argue that to achieve stated aims of building trust and strengthening outbreak response and health systems, public health institutions need to reorientate their conceptualization of ‘the community’ and develop ways of working which take complex social and political relationships into account.","author":[{"dropping-particle":"","family":"Wilkinson","given":"A.","non-dropping-particle":"","parse-names":false,"suffix":""},{"dropping-particle":"","family":"Parker","given":"M.","non-dropping-particle":"","parse-names":false,"suffix":""},{"dropping-particle":"","family":"Martineau","given":"F.","non-dropping-particle":"","parse-names":false,"suffix":""},{"dropping-particle":"","family":"Leach","given":"M.","non-dropping-particle":"","parse-names":false,"suffix":""}],"container-title":"Philosophical Transactions of the Royal Society B: Biological Sciences","id":"ITEM-3","issue":"1721","issued":{"date-parts":[["2017","5","26"]]},"page":"20160305","publisher":"Royal Society","title":"Engaging ‘communities’: anthropological insights from the West African Ebola epidemic","type":"article-journal","volume":"372"},"uris":["http://www.mendeley.com/documents/?uuid=9333303f-dc10-364e-aff8-f9f2444c1727"]},{"id":"ITEM-4","itemData":{"container-title":"World Health Organization","id":"ITEM-4","issued":{"date-parts":[["2020","3","23"]]},"title":"Pass the message: Five steps to kicking out coronavirus","type":"article-newspaper"},"uris":["http://www.mendeley.com/documents/?uuid=7c786c29-ab8b-30a3-afa0-13198a25ada7"]}],"mendeley":{"formattedCitation":"&lt;sup&gt;36–39&lt;/sup&gt;","plainTextFormattedCitation":"36–39","previouslyFormattedCitation":"&lt;sup&gt;36–39&lt;/sup&gt;"},"properties":{"noteIndex":0},"schema":"https://github.com/citation-style-language/schema/raw/master/csl-citation.json"}</w:instrText>
      </w:r>
      <w:r w:rsidRPr="002E1225">
        <w:fldChar w:fldCharType="separate"/>
      </w:r>
      <w:r w:rsidR="00C3176D" w:rsidRPr="002E1225">
        <w:rPr>
          <w:noProof/>
          <w:vertAlign w:val="superscript"/>
        </w:rPr>
        <w:t>36–39</w:t>
      </w:r>
      <w:r w:rsidRPr="002E1225">
        <w:fldChar w:fldCharType="end"/>
      </w:r>
      <w:r w:rsidRPr="002E1225">
        <w:t xml:space="preserve"> </w:t>
      </w:r>
      <w:r w:rsidR="00EC2E48" w:rsidRPr="002E1225">
        <w:t>o</w:t>
      </w:r>
      <w:r w:rsidR="00612C58" w:rsidRPr="002E1225">
        <w:t xml:space="preserve">nce communities are involved, locally appropriate strategies can be identified to mitigate issues such as finding physical space for shielding, improving public buy-in </w:t>
      </w:r>
      <w:r w:rsidR="00EC2E48" w:rsidRPr="002E1225">
        <w:t xml:space="preserve">for </w:t>
      </w:r>
      <w:r w:rsidR="00612C58" w:rsidRPr="002E1225">
        <w:t>shielding, communicating risk messages</w:t>
      </w:r>
      <w:r w:rsidR="000B3A46" w:rsidRPr="002E1225">
        <w:t>, and addressing the socioeconomic impacts of shielding</w:t>
      </w:r>
      <w:r w:rsidR="00612C58" w:rsidRPr="002E1225">
        <w:t>.</w:t>
      </w:r>
      <w:r w:rsidR="00FF44A6" w:rsidRPr="002E1225">
        <w:t xml:space="preserve"> </w:t>
      </w:r>
      <w:r w:rsidR="00775B40" w:rsidRPr="002E1225">
        <w:t>However, a</w:t>
      </w:r>
      <w:r w:rsidRPr="002E1225">
        <w:t>ny approach should avoid a simplistic framing of “community” and recognize heterogeneity and tensions within a community</w:t>
      </w:r>
      <w:r w:rsidR="00E9386C" w:rsidRPr="002E1225">
        <w:t xml:space="preserve"> or household</w:t>
      </w:r>
      <w:r w:rsidRPr="002E1225">
        <w:t xml:space="preserve"> space.</w:t>
      </w:r>
      <w:r w:rsidRPr="002E1225">
        <w:fldChar w:fldCharType="begin" w:fldLock="1"/>
      </w:r>
      <w:r w:rsidR="00C3176D" w:rsidRPr="002E1225">
        <w:instrText>ADDIN CSL_CITATION {"citationItems":[{"id":"ITEM-1","itemData":{"DOI":"10.1098/rstb.2016.0305","ISSN":"0962-8436","abstract":"The recent Ebola epidemic in West Africa highlights how engaging with the sociocultural dimensions of epidemics is critical to mounting an effective outbreak response. Community engagement was pivotal to ending the epidemic and will be to post-Ebola recovery, health system strengthening and future epidemic preparedness and response. Extensive literatures in the social sciences have emphasized how simple notions of community, which project solidarity onto complex hierarchies and politics, can lead to ineffective policies and unintended consequences at the local level, including doing harm to vulnerable populations. This article reflects on the nature of community engagement during the Ebola epidemic and demonstrates a disjuncture between local realities and what is being imagined in post-Ebola reports about the lessons that need to be learned for the future. We argue that to achieve stated aims of building trust and strengthening outbreak response and health systems, public health institutions need to reorientate their conceptualization of ‘the community’ and develop ways of working which take complex social and political relationships into account.","author":[{"dropping-particle":"","family":"Wilkinson","given":"A.","non-dropping-particle":"","parse-names":false,"suffix":""},{"dropping-particle":"","family":"Parker","given":"M.","non-dropping-particle":"","parse-names":false,"suffix":""},{"dropping-particle":"","family":"Martineau","given":"F.","non-dropping-particle":"","parse-names":false,"suffix":""},{"dropping-particle":"","family":"Leach","given":"M.","non-dropping-particle":"","parse-names":false,"suffix":""}],"container-title":"Philosophical Transactions of the Royal Society B: Biological Sciences","id":"ITEM-1","issue":"1721","issued":{"date-parts":[["2017","5","26"]]},"page":"20160305","publisher":"Royal Society","title":"Engaging ‘communities’: anthropological insights from the West African Ebola epidemic","type":"article-journal","volume":"372"},"uris":["http://www.mendeley.com/documents/?uuid=9333303f-dc10-364e-aff8-f9f2444c1727"]}],"mendeley":{"formattedCitation":"&lt;sup&gt;38&lt;/sup&gt;","plainTextFormattedCitation":"38","previouslyFormattedCitation":"&lt;sup&gt;38&lt;/sup&gt;"},"properties":{"noteIndex":0},"schema":"https://github.com/citation-style-language/schema/raw/master/csl-citation.json"}</w:instrText>
      </w:r>
      <w:r w:rsidRPr="002E1225">
        <w:fldChar w:fldCharType="separate"/>
      </w:r>
      <w:r w:rsidR="00C3176D" w:rsidRPr="002E1225">
        <w:rPr>
          <w:noProof/>
          <w:vertAlign w:val="superscript"/>
        </w:rPr>
        <w:t>38</w:t>
      </w:r>
      <w:r w:rsidRPr="002E1225">
        <w:fldChar w:fldCharType="end"/>
      </w:r>
      <w:r w:rsidR="005606E7" w:rsidRPr="002E1225">
        <w:t xml:space="preserve"> </w:t>
      </w:r>
      <w:r w:rsidRPr="002E1225">
        <w:t>Informal settlement</w:t>
      </w:r>
      <w:r w:rsidR="00C647B4" w:rsidRPr="002E1225">
        <w:t>s</w:t>
      </w:r>
      <w:r w:rsidRPr="002E1225">
        <w:t xml:space="preserve">, in particular, will require </w:t>
      </w:r>
      <w:r w:rsidR="00C647B4" w:rsidRPr="002E1225">
        <w:t xml:space="preserve">careful consideration; residents </w:t>
      </w:r>
      <w:r w:rsidR="00406492" w:rsidRPr="002E1225">
        <w:t xml:space="preserve">are likely to be diverse and to </w:t>
      </w:r>
      <w:r w:rsidR="00C647B4" w:rsidRPr="002E1225">
        <w:t xml:space="preserve">need </w:t>
      </w:r>
      <w:r w:rsidRPr="002E1225">
        <w:t>extra resources to support shielding implementation</w:t>
      </w:r>
      <w:r w:rsidR="00406492" w:rsidRPr="002E1225">
        <w:t xml:space="preserve"> T</w:t>
      </w:r>
      <w:r w:rsidRPr="002E1225">
        <w:t xml:space="preserve">his is where local and national governments can provide support. </w:t>
      </w:r>
      <w:r w:rsidRPr="002E1225">
        <w:rPr>
          <w:b/>
        </w:rPr>
        <w:t xml:space="preserve">Community involvement in design and implementation would </w:t>
      </w:r>
      <w:r w:rsidR="002B72B8">
        <w:rPr>
          <w:b/>
        </w:rPr>
        <w:t>include</w:t>
      </w:r>
      <w:r w:rsidR="002B72B8" w:rsidRPr="002E1225">
        <w:rPr>
          <w:b/>
        </w:rPr>
        <w:t xml:space="preserve"> </w:t>
      </w:r>
      <w:r w:rsidRPr="002E1225">
        <w:rPr>
          <w:b/>
        </w:rPr>
        <w:t xml:space="preserve">planning shielding locations, enabling support for the shielded, and so on. To complement this, </w:t>
      </w:r>
      <w:r w:rsidR="00612C58" w:rsidRPr="002E1225">
        <w:rPr>
          <w:b/>
        </w:rPr>
        <w:t xml:space="preserve">governments, humanitarian actors, task forces, </w:t>
      </w:r>
      <w:r w:rsidRPr="002E1225">
        <w:rPr>
          <w:b/>
        </w:rPr>
        <w:t>and local authorities can serve as coordinating mechanisms and provide socioeconomic support.</w:t>
      </w:r>
      <w:r w:rsidRPr="002E1225">
        <w:t xml:space="preserve"> </w:t>
      </w:r>
    </w:p>
    <w:p w14:paraId="1895A019" w14:textId="7104CF45" w:rsidR="004B548B" w:rsidRPr="002E1225" w:rsidRDefault="004B548B" w:rsidP="004B548B">
      <w:pPr>
        <w:rPr>
          <w:b/>
        </w:rPr>
      </w:pPr>
      <w:r w:rsidRPr="002E1225">
        <w:rPr>
          <w:b/>
        </w:rPr>
        <w:t xml:space="preserve">Local concepts of protection and caregiving: </w:t>
      </w:r>
      <w:r w:rsidRPr="002E1225">
        <w:t>In LMICs that have tested shielding, including those highlighted here, support for the vulnerable remains primarily a family and household responsibility, supplemented by informal mechanisms such as extended kinship networks and mutual aid societies in the community. These local protection systems serve to mitigate the lack of formal social welfare schemes in areas where it is essentially non-existent.</w:t>
      </w:r>
      <w:r w:rsidRPr="002E1225">
        <w:fldChar w:fldCharType="begin" w:fldLock="1"/>
      </w:r>
      <w:r w:rsidR="00C3176D" w:rsidRPr="002E1225">
        <w:instrText>ADDIN CSL_CITATION {"citationItems":[{"id":"ITEM-1","itemData":{"author":[{"dropping-particle":"","family":"Cohen","given":"Barney","non-dropping-particle":"","parse-names":false,"suffix":""},{"dropping-particle":"","family":"Menken","given":"Jane","non-dropping-particle":"","parse-names":false,"suffix":""}],"id":"ITEM-1","issued":{"date-parts":[["2006"]]},"publisher":"National Academies Press (US)","publisher-place":"Washington, DC","title":"Aging in Sub-Saharan Africa: Recommendations for Furthering Research","type":"report"},"uris":["http://www.mendeley.com/documents/?uuid=a8f1c31a-dc4a-369e-a444-9c0b3bf9b3a1"]}],"mendeley":{"formattedCitation":"&lt;sup&gt;40&lt;/sup&gt;","plainTextFormattedCitation":"40","previouslyFormattedCitation":"&lt;sup&gt;40&lt;/sup&gt;"},"properties":{"noteIndex":0},"schema":"https://github.com/citation-style-language/schema/raw/master/csl-citation.json"}</w:instrText>
      </w:r>
      <w:r w:rsidRPr="002E1225">
        <w:fldChar w:fldCharType="separate"/>
      </w:r>
      <w:r w:rsidR="00C3176D" w:rsidRPr="002E1225">
        <w:rPr>
          <w:noProof/>
          <w:vertAlign w:val="superscript"/>
        </w:rPr>
        <w:t>40</w:t>
      </w:r>
      <w:r w:rsidRPr="002E1225">
        <w:fldChar w:fldCharType="end"/>
      </w:r>
      <w:r w:rsidRPr="002E1225">
        <w:t xml:space="preserve">  </w:t>
      </w:r>
      <w:r w:rsidR="00416293" w:rsidRPr="002E1225">
        <w:t>Local protection systems should be leveraged to minimize the impact of shielding.</w:t>
      </w:r>
      <w:r w:rsidR="007338C7" w:rsidRPr="002E1225">
        <w:t xml:space="preserve"> Further, shielding design can draw on existing local concepts of protection for the elderly,  which </w:t>
      </w:r>
      <w:r w:rsidR="00E501FC" w:rsidRPr="002E1225">
        <w:t>have included</w:t>
      </w:r>
      <w:r w:rsidR="007338C7" w:rsidRPr="002E1225">
        <w:t xml:space="preserve"> concepts of respect and reciprocity in care.</w:t>
      </w:r>
      <w:r w:rsidR="007338C7" w:rsidRPr="002E1225">
        <w:fldChar w:fldCharType="begin" w:fldLock="1"/>
      </w:r>
      <w:r w:rsidR="004A4DA2" w:rsidRPr="002E1225">
        <w:instrText>ADDIN CSL_CITATION {"citationItems":[{"id":"ITEM-1","itemData":{"DOI":"10.1023/A:1014843004627","ISSN":"01693816","abstract":"This article deals with ideas and practices of care of elderly people in a rural Kwahu community of Ghana. It is part of a larger project on social and cultural meanings of growing old. Four questions are addressed: What kind of care do old people receive? Who provides that care? On what basis do people care for the old or do they feel obliged to do so? And finally, what are the changes taking place in the field of care for old people? Concepts of respect and reciprocity take a central position in accounts of care and lack of care. The article is based on anthropological fieldwork, mainly conversations with 35 elderly people and observations in their daily lives. © 2002 Kluwer Academic Publishers.","author":[{"dropping-particle":"","family":"Sjaak Geest","given":"D. E.R.","non-dropping-particle":"Van","parse-names":false,"suffix":""}],"container-title":"Journal of Cross-Cultural Gerontology","id":"ITEM-1","issue":"1","issued":{"date-parts":[["2002"]]},"page":"3-31","title":"Respect and reciprocity: Care of elderly people in rural Ghana","type":"article-journal","volume":"17"},"uris":["http://www.mendeley.com/documents/?uuid=7cd54b7b-d270-3998-bf92-b836ed7d7d95"]}],"mendeley":{"formattedCitation":"&lt;sup&gt;41&lt;/sup&gt;","plainTextFormattedCitation":"41","previouslyFormattedCitation":"&lt;sup&gt;41&lt;/sup&gt;"},"properties":{"noteIndex":0},"schema":"https://github.com/citation-style-language/schema/raw/master/csl-citation.json"}</w:instrText>
      </w:r>
      <w:r w:rsidR="007338C7" w:rsidRPr="002E1225">
        <w:fldChar w:fldCharType="separate"/>
      </w:r>
      <w:r w:rsidR="007338C7" w:rsidRPr="002E1225">
        <w:rPr>
          <w:noProof/>
          <w:vertAlign w:val="superscript"/>
        </w:rPr>
        <w:t>41</w:t>
      </w:r>
      <w:r w:rsidR="007338C7" w:rsidRPr="002E1225">
        <w:fldChar w:fldCharType="end"/>
      </w:r>
      <w:r w:rsidR="00416293" w:rsidRPr="002E1225">
        <w:t xml:space="preserve"> </w:t>
      </w:r>
      <w:r w:rsidRPr="002E1225">
        <w:rPr>
          <w:b/>
        </w:rPr>
        <w:t>Policy makers and communities may consider encouraging families of the shielded to designate a family member to take on the caregiver role and providing necessary infection prevention and control training, social, and economic support.</w:t>
      </w:r>
      <w:r w:rsidR="00416293" w:rsidRPr="002E1225">
        <w:rPr>
          <w:b/>
        </w:rPr>
        <w:t xml:space="preserve"> </w:t>
      </w:r>
    </w:p>
    <w:p w14:paraId="430AC984" w14:textId="4023B0A9" w:rsidR="00B54780" w:rsidRPr="002E1225" w:rsidRDefault="005606E7" w:rsidP="005606E7">
      <w:pPr>
        <w:rPr>
          <w:b/>
        </w:rPr>
      </w:pPr>
      <w:r w:rsidRPr="002E1225">
        <w:rPr>
          <w:b/>
        </w:rPr>
        <w:t xml:space="preserve">Protection of mental health and well-being: </w:t>
      </w:r>
      <w:r w:rsidR="00B31071" w:rsidRPr="002E1225">
        <w:t xml:space="preserve">The potential psychosocial impact of shielding should be considered from the early stages of shielding in order to identify locally the barriers to access, the risks, and specific needs of shielding individuals and their families. </w:t>
      </w:r>
      <w:r w:rsidR="00B54780" w:rsidRPr="002E1225">
        <w:t>HelpAge International, an organisation that advocates for older adults globally, raised concerns over singling out older adults for shielding, as well as reduced access to health care for the shielded, the likely psychosocial impact on older adults of long-term isolation and the potential for abuse within the home by caregivers. The emerging evidence echoes concerns over the long-term impact of shielding on mental health and the idea that shielded individuals may not be able to lead socially and economically engaged lives for an undefinable length of time.</w:t>
      </w:r>
    </w:p>
    <w:p w14:paraId="45D26C88" w14:textId="32301AEF" w:rsidR="005606E7" w:rsidRPr="002E1225" w:rsidRDefault="005606E7" w:rsidP="005606E7">
      <w:pPr>
        <w:rPr>
          <w:b/>
        </w:rPr>
      </w:pPr>
      <w:r w:rsidRPr="002E1225">
        <w:t xml:space="preserve">Some evidence has emerged from </w:t>
      </w:r>
      <w:r w:rsidR="002B72B8">
        <w:t xml:space="preserve">higher income countries </w:t>
      </w:r>
      <w:r w:rsidRPr="002E1225">
        <w:t xml:space="preserve">that have implemented </w:t>
      </w:r>
      <w:r w:rsidR="00F25952" w:rsidRPr="002E1225">
        <w:t>other kinds of protection measures</w:t>
      </w:r>
      <w:r w:rsidR="0046241C" w:rsidRPr="002E1225">
        <w:t xml:space="preserve"> for elderly populations</w:t>
      </w:r>
      <w:r w:rsidR="00083A3B" w:rsidRPr="002E1225">
        <w:t xml:space="preserve">, with </w:t>
      </w:r>
      <w:r w:rsidR="002B72B8">
        <w:t>relevant lessons</w:t>
      </w:r>
      <w:r w:rsidR="002B72B8" w:rsidRPr="002E1225">
        <w:t xml:space="preserve"> </w:t>
      </w:r>
      <w:r w:rsidR="00083A3B" w:rsidRPr="002E1225">
        <w:t>for shielding</w:t>
      </w:r>
      <w:r w:rsidRPr="002E1225">
        <w:t>. In a cross-sectional study</w:t>
      </w:r>
      <w:r w:rsidRPr="002E1225">
        <w:fldChar w:fldCharType="begin" w:fldLock="1"/>
      </w:r>
      <w:r w:rsidR="004A4DA2" w:rsidRPr="002E1225">
        <w:instrText>ADDIN CSL_CITATION {"citationItems":[{"id":"ITEM-1","itemData":{"author":[{"dropping-particle":"","family":"Roest","given":"H. G.","non-dropping-particle":"Van der","parse-names":false,"suffix":""},{"dropping-particle":"","family":"Prins","given":"M.","non-dropping-particle":"","parse-names":false,"suffix":""},{"dropping-particle":"","family":"Velden","given":"C.","non-dropping-particle":"van der","parse-names":false,"suffix":""},{"dropping-particle":"","family":"Steinmetz","given":"S.","non-dropping-particle":"","parse-names":false,"suffix":""},{"dropping-particle":"","family":"Stolte","given":"E.","non-dropping-particle":"","parse-names":false,"suffix":""},{"dropping-particle":"","family":"Tilburg","given":"T. G.","non-dropping-particle":"van","parse-names":false,"suffix":""},{"dropping-particle":"","family":"Vries","given":"D. H.","non-dropping-particle":"de","parse-names":false,"suffix":""}],"container-title":"Journal of the American Geriatrics Association","id":"ITEM-1","issued":{"date-parts":[["0"]]},"title":"The impact of COVID-19 measures on well-being of older long-term care facility residents in the Netherlands","type":"article-journal"},"uris":["http://www.mendeley.com/documents/?uuid=d8906ea1-2d5b-39c3-aa62-d315f1bb1fc7"]}],"mendeley":{"formattedCitation":"&lt;sup&gt;42&lt;/sup&gt;","plainTextFormattedCitation":"42","previouslyFormattedCitation":"&lt;sup&gt;42&lt;/sup&gt;"},"properties":{"noteIndex":0},"schema":"https://github.com/citation-style-language/schema/raw/master/csl-citation.json"}</w:instrText>
      </w:r>
      <w:r w:rsidRPr="002E1225">
        <w:fldChar w:fldCharType="separate"/>
      </w:r>
      <w:r w:rsidR="007338C7" w:rsidRPr="002E1225">
        <w:rPr>
          <w:noProof/>
          <w:vertAlign w:val="superscript"/>
        </w:rPr>
        <w:t>42</w:t>
      </w:r>
      <w:r w:rsidRPr="002E1225">
        <w:fldChar w:fldCharType="end"/>
      </w:r>
      <w:r w:rsidRPr="002E1225">
        <w:t xml:space="preserve"> conducted among older long-term care facility (LTCF) residents in the Netherlands, well-being of older residents was severely affected. Six to ten weeks after implementation of a shielding visitor-ban, high levels of loneliness, depression and a significant exacerbation in mood and behavio</w:t>
      </w:r>
      <w:r w:rsidR="002B72B8">
        <w:t>u</w:t>
      </w:r>
      <w:r w:rsidRPr="002E1225">
        <w:t>ral problems were reported.</w:t>
      </w:r>
      <w:r w:rsidRPr="002E1225">
        <w:rPr>
          <w:color w:val="FF0000"/>
        </w:rPr>
        <w:t xml:space="preserve"> </w:t>
      </w:r>
      <w:r w:rsidRPr="002E1225">
        <w:t>Residents without severe cognitive impairment seemed to be the most affected. In another panel study</w:t>
      </w:r>
      <w:r w:rsidRPr="002E1225">
        <w:fldChar w:fldCharType="begin" w:fldLock="1"/>
      </w:r>
      <w:r w:rsidR="004A4DA2" w:rsidRPr="002E1225">
        <w:instrText>ADDIN CSL_CITATION {"citationItems":[{"id":"ITEM-1","itemData":{"DOI":"10.1093/geronb/gbaa111","ISSN":"1079-5014","abstract":"OBJECTIVES: With the spread of COVID-19, the Netherlands implemented a policy to  keep citizens physically distanced. We hypothesize that consequent reduction in the frequency of social contacts, personal losses and the experience of general threats in society reduced well-being. METHODS: Data were collected from 1,679 Dutch community-dwelling participants aged 65 to 102 years old comprising a longitudinal online panel. Social and emotional loneliness and mental health were measured in May 2020, i.e., two months after the implementation of the measures, and earlier in October and November 2019. RESULTS: In this pandemic, not only loneliness of older people increased, but mental health remained roughly stable. The policy measures for physical distancing did not cause much social isolation but personal losses, worries about the pandemic, and a decline in trust in societal institutions were associated with increased mental health problems and especially emotional loneliness. DISCUSSION: The consequences of long-term social isolation and well-being must be closely monitored.","author":[{"dropping-particle":"","family":"Tilburg","given":"Theo G","non-dropping-particle":"van","parse-names":false,"suffix":""},{"dropping-particle":"","family":"Steinmetz","given":"Stephanie","non-dropping-particle":"","parse-names":false,"suffix":""},{"dropping-particle":"","family":"Stolte","given":"Elske","non-dropping-particle":"","parse-names":false,"suffix":""},{"dropping-particle":"","family":"Roest","given":"Henriëtte","non-dropping-particle":"van der","parse-names":false,"suffix":""},{"dropping-particle":"","family":"Vries","given":"Daniel H","non-dropping-particle":"de","parse-names":false,"suffix":""}],"container-title":"The Journals of Gerontology: Series B","id":"ITEM-1","issued":{"date-parts":[["2020","8","5"]]},"publisher":"Oxford University Press (OUP)","title":"Loneliness and mental health during the COVID-19 pandemic: A study among Dutch older adults","type":"article-journal"},"uris":["http://www.mendeley.com/documents/?uuid=b86672f2-964a-3c1f-9455-c2f3ae073ad0"]}],"mendeley":{"formattedCitation":"&lt;sup&gt;43&lt;/sup&gt;","plainTextFormattedCitation":"43","previouslyFormattedCitation":"&lt;sup&gt;43&lt;/sup&gt;"},"properties":{"noteIndex":0},"schema":"https://github.com/citation-style-language/schema/raw/master/csl-citation.json"}</w:instrText>
      </w:r>
      <w:r w:rsidRPr="002E1225">
        <w:fldChar w:fldCharType="separate"/>
      </w:r>
      <w:r w:rsidR="007338C7" w:rsidRPr="002E1225">
        <w:rPr>
          <w:noProof/>
          <w:vertAlign w:val="superscript"/>
        </w:rPr>
        <w:t>43</w:t>
      </w:r>
      <w:r w:rsidRPr="002E1225">
        <w:fldChar w:fldCharType="end"/>
      </w:r>
      <w:r w:rsidRPr="002E1225">
        <w:t xml:space="preserve"> among Dutch older people living independently, loneliness of older people increased, but mental health remained roughly stable. Personal losses, worries about the pandemic, and a decline in trust in societal institutions were associated with increased mental health problems and especially emotional loneliness. Ethnographic research</w:t>
      </w:r>
      <w:r w:rsidRPr="002E1225">
        <w:fldChar w:fldCharType="begin" w:fldLock="1"/>
      </w:r>
      <w:r w:rsidR="004A4DA2" w:rsidRPr="002E1225">
        <w:instrText>ADDIN CSL_CITATION {"citationItems":[{"id":"ITEM-1","itemData":{"URL":"http://somatosphere.net/2020/in-and-outside-the-nursing-home.html/","accessed":{"date-parts":[["2020","8","27"]]},"author":[{"dropping-particle":"","family":"Dekker","given":"N. L.","non-dropping-particle":"","parse-names":false,"suffix":""},{"dropping-particle":"","family":"Vermeulen","given":"L.","non-dropping-particle":"","parse-names":false,"suffix":""},{"dropping-particle":"","family":"Pols","given":"J.","non-dropping-particle":"","parse-names":false,"suffix":""}],"container-title":"Somatosphere","id":"ITEM-1","issued":{"date-parts":[["2020"]]},"title":"In and outside the nursing home: On the (im)possibilities of meaningful contact while being held apart","type":"webpage"},"uris":["http://www.mendeley.com/documents/?uuid=2f58e254-edb1-3967-9ba5-10ae0ea46ab3"]}],"mendeley":{"formattedCitation":"&lt;sup&gt;44&lt;/sup&gt;","plainTextFormattedCitation":"44","previouslyFormattedCitation":"&lt;sup&gt;44&lt;/sup&gt;"},"properties":{"noteIndex":0},"schema":"https://github.com/citation-style-language/schema/raw/master/csl-citation.json"}</w:instrText>
      </w:r>
      <w:r w:rsidRPr="002E1225">
        <w:fldChar w:fldCharType="separate"/>
      </w:r>
      <w:r w:rsidR="007338C7" w:rsidRPr="002E1225">
        <w:rPr>
          <w:noProof/>
          <w:vertAlign w:val="superscript"/>
        </w:rPr>
        <w:t>44</w:t>
      </w:r>
      <w:r w:rsidRPr="002E1225">
        <w:fldChar w:fldCharType="end"/>
      </w:r>
      <w:r w:rsidRPr="002E1225">
        <w:t xml:space="preserve"> among the same populations showed that for older people what they really find frightening is not death, but the impossibility of being together at life’s end due to isolation measures. From the perspective of groups who are vulnerable not only physically, but also socially, such as people with severe psychiatric problems, other mental health challenges, and homeless people, it was found</w:t>
      </w:r>
      <w:r w:rsidRPr="002E1225">
        <w:fldChar w:fldCharType="begin" w:fldLock="1"/>
      </w:r>
      <w:r w:rsidR="004A4DA2" w:rsidRPr="002E1225">
        <w:instrText>ADDIN CSL_CITATION {"citationItems":[{"id":"ITEM-1","itemData":{"editor":[{"dropping-particle":"","family":"Pols","given":"A. J.","non-dropping-particle":"","parse-names":false,"suffix":""},{"dropping-particle":"","family":"Vries","given":"Daniel H","non-dropping-particle":"de","parse-names":false,"suffix":""}],"id":"ITEM-1","issued":{"date-parts":[["2020"]]},"publisher":"University of Amsterdam","title":"Effecten van sociale afstand op kwetsbare groepen in Nederland","type":"book"},"uris":["http://www.mendeley.com/documents/?uuid=b981d3b6-8bcf-4eb6-9436-5aab795b6e3b"]}],"mendeley":{"formattedCitation":"&lt;sup&gt;45&lt;/sup&gt;","plainTextFormattedCitation":"45","previouslyFormattedCitation":"&lt;sup&gt;45&lt;/sup&gt;"},"properties":{"noteIndex":0},"schema":"https://github.com/citation-style-language/schema/raw/master/csl-citation.json"}</w:instrText>
      </w:r>
      <w:r w:rsidRPr="002E1225">
        <w:fldChar w:fldCharType="separate"/>
      </w:r>
      <w:r w:rsidR="007338C7" w:rsidRPr="002E1225">
        <w:rPr>
          <w:noProof/>
          <w:vertAlign w:val="superscript"/>
        </w:rPr>
        <w:t>45</w:t>
      </w:r>
      <w:r w:rsidRPr="002E1225">
        <w:fldChar w:fldCharType="end"/>
      </w:r>
      <w:r w:rsidRPr="002E1225">
        <w:t xml:space="preserve"> that the biggest challenges of </w:t>
      </w:r>
      <w:r w:rsidR="004443EF" w:rsidRPr="002E1225">
        <w:t>isolation</w:t>
      </w:r>
      <w:r w:rsidRPr="002E1225">
        <w:t xml:space="preserve"> includes a loss of perspective and meaning, combined with the loss of day activities and structures. Overall, the implementation of </w:t>
      </w:r>
      <w:r w:rsidR="00303DA6" w:rsidRPr="002E1225">
        <w:t xml:space="preserve">isolation </w:t>
      </w:r>
      <w:r w:rsidRPr="002E1225">
        <w:t>measures In the Netherlands has reduced the incidence of COVID-19 infections and thus the number of deaths in LTCF, however, a better balance between physical safety and well-being is necessary, as social isolation is a serious health threat</w:t>
      </w:r>
      <w:r w:rsidR="002B72B8">
        <w:t xml:space="preserve"> in itself</w:t>
      </w:r>
      <w:r w:rsidRPr="002E1225">
        <w:t>.</w:t>
      </w:r>
      <w:r w:rsidR="00B31071" w:rsidRPr="002E1225">
        <w:t xml:space="preserve"> </w:t>
      </w:r>
      <w:r w:rsidR="00AF4040" w:rsidRPr="002E1225">
        <w:rPr>
          <w:b/>
        </w:rPr>
        <w:t xml:space="preserve">Based on this emerging evidence </w:t>
      </w:r>
      <w:r w:rsidR="002B72B8">
        <w:rPr>
          <w:b/>
        </w:rPr>
        <w:t xml:space="preserve">additional </w:t>
      </w:r>
      <w:r w:rsidR="00B31071" w:rsidRPr="002E1225">
        <w:rPr>
          <w:b/>
        </w:rPr>
        <w:t xml:space="preserve">psychosocial support </w:t>
      </w:r>
      <w:r w:rsidR="002B72B8">
        <w:rPr>
          <w:b/>
        </w:rPr>
        <w:t xml:space="preserve">is needed for the shielded, and </w:t>
      </w:r>
      <w:r w:rsidR="00B31071" w:rsidRPr="002E1225">
        <w:rPr>
          <w:b/>
        </w:rPr>
        <w:t>adapted to local contexts.</w:t>
      </w:r>
    </w:p>
    <w:p w14:paraId="305603BC" w14:textId="77777777" w:rsidR="004B548B" w:rsidRPr="002E1225" w:rsidRDefault="004B548B" w:rsidP="00231BFD">
      <w:pPr>
        <w:ind w:left="180"/>
        <w:rPr>
          <w:b/>
        </w:rPr>
      </w:pPr>
      <w:r w:rsidRPr="002E1225">
        <w:rPr>
          <w:b/>
        </w:rPr>
        <w:t>Further Resources (illustrative, not exhaustive):</w:t>
      </w:r>
    </w:p>
    <w:p w14:paraId="18C25C19" w14:textId="772E5BD9" w:rsidR="008D6D95" w:rsidRPr="002E1225" w:rsidRDefault="008D6D95" w:rsidP="008D6D95">
      <w:pPr>
        <w:ind w:left="180"/>
        <w:jc w:val="left"/>
      </w:pPr>
      <w:r w:rsidRPr="002E1225">
        <w:t>Butler, N., &amp; Tulloch, O. (2020). Considerations and principles for shielding people at high risk of severe outcomes from COVID-19. https://www.socialscienceinaction.org/resources/considerations-principles-shielding-people-high-risk-severe-outcomes-covid-19/</w:t>
      </w:r>
    </w:p>
    <w:p w14:paraId="3CCB455C" w14:textId="4AEF86E7" w:rsidR="004B548B" w:rsidRPr="002E1225" w:rsidRDefault="004B548B" w:rsidP="008D6D95">
      <w:pPr>
        <w:ind w:left="180"/>
        <w:jc w:val="left"/>
      </w:pPr>
      <w:r w:rsidRPr="002E1225">
        <w:t>C</w:t>
      </w:r>
      <w:r w:rsidR="00014918">
        <w:t>h</w:t>
      </w:r>
      <w:r w:rsidRPr="002E1225">
        <w:t xml:space="preserve">atterjee, R., Bajwa, S., Dwivedi, D., Kanji, R., Ahammed, M., &amp; Shaw, R. (2020). COVID-19 </w:t>
      </w:r>
      <w:r w:rsidR="00231BFD" w:rsidRPr="002E1225">
        <w:t>risk assessment tool</w:t>
      </w:r>
      <w:r w:rsidRPr="002E1225">
        <w:t>: Dual application of risk communication and risk governance. Progress in Disaster Science, 100109.</w:t>
      </w:r>
      <w:r w:rsidR="00EB19A4" w:rsidRPr="002E1225">
        <w:t xml:space="preserve"> https://doi.org/10.1016/j.pdisas.2020.100109</w:t>
      </w:r>
    </w:p>
    <w:p w14:paraId="2DB76016" w14:textId="4E29D745" w:rsidR="004B548B" w:rsidRPr="002E1225" w:rsidRDefault="00EB19A4" w:rsidP="008D6D95">
      <w:pPr>
        <w:ind w:left="180"/>
        <w:jc w:val="left"/>
      </w:pPr>
      <w:r w:rsidRPr="002E1225">
        <w:t>Health in Humanitarian Crises Centre. (2020). COVID-19 guidance documents for shielding. https://www.lshtm.ac.uk/research/centres/health-humanitarian-crises-centre/covid-19-response</w:t>
      </w:r>
    </w:p>
    <w:p w14:paraId="7425F7BF" w14:textId="1AF3C42D" w:rsidR="00620C5E" w:rsidRPr="002E1225" w:rsidRDefault="00620C5E" w:rsidP="00620C5E">
      <w:pPr>
        <w:pStyle w:val="Heading2"/>
      </w:pPr>
      <w:r w:rsidRPr="002E1225">
        <w:t>acknowledgements</w:t>
      </w:r>
    </w:p>
    <w:p w14:paraId="4D1DDB24" w14:textId="54990B26" w:rsidR="00620C5E" w:rsidRPr="002E1225" w:rsidRDefault="00620C5E" w:rsidP="008D6D95">
      <w:pPr>
        <w:ind w:left="180"/>
        <w:jc w:val="left"/>
      </w:pPr>
      <w:r w:rsidRPr="002E1225">
        <w:t>We would like to thank the following colleagues for providing valuable comments and critique on this document:</w:t>
      </w:r>
    </w:p>
    <w:p w14:paraId="19A395CF" w14:textId="46C9F414" w:rsidR="006239A1" w:rsidRPr="002E1225" w:rsidRDefault="006B4B76" w:rsidP="00F8226D">
      <w:pPr>
        <w:ind w:left="180"/>
        <w:jc w:val="left"/>
      </w:pPr>
      <w:r w:rsidRPr="002E1225">
        <w:t>Caroline Favas</w:t>
      </w:r>
      <w:r w:rsidR="008D1CDE" w:rsidRPr="002E1225">
        <w:t xml:space="preserve"> (</w:t>
      </w:r>
      <w:r w:rsidR="0081088F" w:rsidRPr="002E1225">
        <w:t>LSHTM</w:t>
      </w:r>
      <w:r w:rsidR="008D1CDE" w:rsidRPr="002E1225">
        <w:t>)</w:t>
      </w:r>
      <w:r w:rsidRPr="002E1225">
        <w:t>, Nada Abdelmagid</w:t>
      </w:r>
      <w:r w:rsidR="008D1CDE" w:rsidRPr="002E1225">
        <w:t xml:space="preserve"> (LSHTM)</w:t>
      </w:r>
      <w:r w:rsidRPr="002E1225">
        <w:t>, Mervat Alhaffar</w:t>
      </w:r>
      <w:r w:rsidR="008D1CDE" w:rsidRPr="002E1225">
        <w:t xml:space="preserve"> (LSHTM)</w:t>
      </w:r>
      <w:r w:rsidRPr="002E1225">
        <w:t>, Emma Tuck</w:t>
      </w:r>
      <w:r w:rsidR="008D1CDE" w:rsidRPr="002E1225">
        <w:t xml:space="preserve"> (UNICEF)</w:t>
      </w:r>
      <w:r w:rsidRPr="002E1225">
        <w:t>,</w:t>
      </w:r>
      <w:r w:rsidR="008D1CDE" w:rsidRPr="002E1225">
        <w:t xml:space="preserve"> </w:t>
      </w:r>
      <w:r w:rsidR="00696669" w:rsidRPr="002E1225">
        <w:t>Lauren McCarthy (</w:t>
      </w:r>
      <w:r w:rsidR="009B0B8A" w:rsidRPr="002E1225">
        <w:t>Danish Refugee Council</w:t>
      </w:r>
      <w:r w:rsidR="00696669" w:rsidRPr="002E1225">
        <w:t xml:space="preserve">), </w:t>
      </w:r>
      <w:r w:rsidR="008D1CDE" w:rsidRPr="002E1225">
        <w:t>Simone Carter (UNICEF), Daniel de Vries (</w:t>
      </w:r>
      <w:r w:rsidR="0081088F" w:rsidRPr="002E1225">
        <w:t>University of Amsterdam</w:t>
      </w:r>
      <w:r w:rsidR="008D1CDE" w:rsidRPr="002E1225">
        <w:t>), Fergus McBean (</w:t>
      </w:r>
      <w:r w:rsidR="0068760D">
        <w:t>FCDO</w:t>
      </w:r>
      <w:r w:rsidR="008D1CDE" w:rsidRPr="002E1225">
        <w:t>), Ron Waldman (</w:t>
      </w:r>
      <w:r w:rsidR="0081088F" w:rsidRPr="002E1225">
        <w:t>George Washington University</w:t>
      </w:r>
      <w:r w:rsidR="008D1CDE" w:rsidRPr="002E1225">
        <w:t>), Joe Timothy (LSHTM), Ken Bluestone (Age International), Bridget Sleap (HelpAge), Patricia Conboy (HelpAge), Ivy Chuomo (</w:t>
      </w:r>
      <w:r w:rsidR="0011586C" w:rsidRPr="002E1225">
        <w:t>Africa Population and Health Research Center</w:t>
      </w:r>
      <w:r w:rsidR="008D1CDE" w:rsidRPr="002E1225">
        <w:t>)</w:t>
      </w:r>
      <w:r w:rsidR="00E12AA2" w:rsidRPr="002E1225">
        <w:t>, Darryl Stellmach</w:t>
      </w:r>
      <w:r w:rsidR="0081088F" w:rsidRPr="002E1225">
        <w:t xml:space="preserve"> (Médicins Sans Frontières)</w:t>
      </w:r>
      <w:r w:rsidR="00E12AA2" w:rsidRPr="002E1225">
        <w:t xml:space="preserve">, </w:t>
      </w:r>
      <w:r w:rsidR="002605E7" w:rsidRPr="002E1225">
        <w:t>Ciara Silke (</w:t>
      </w:r>
      <w:r w:rsidR="0068760D">
        <w:t>FCDO</w:t>
      </w:r>
      <w:r w:rsidR="002605E7" w:rsidRPr="002E1225">
        <w:t xml:space="preserve">), </w:t>
      </w:r>
      <w:r w:rsidR="0068760D">
        <w:t xml:space="preserve">Chris Porter (FCDO), </w:t>
      </w:r>
      <w:r w:rsidR="00F8226D">
        <w:t xml:space="preserve">Nadeem Hasan (FCDO) </w:t>
      </w:r>
      <w:r w:rsidR="0068760D">
        <w:t xml:space="preserve">and </w:t>
      </w:r>
      <w:r w:rsidR="00E12AA2" w:rsidRPr="002E1225">
        <w:t xml:space="preserve">David </w:t>
      </w:r>
      <w:r w:rsidR="0081088F" w:rsidRPr="002E1225">
        <w:t>McConalogue (</w:t>
      </w:r>
      <w:r w:rsidR="0068760D">
        <w:t>FCDO</w:t>
      </w:r>
      <w:r w:rsidR="0081088F" w:rsidRPr="002E1225">
        <w:t>).</w:t>
      </w:r>
    </w:p>
    <w:p w14:paraId="0DC6B373" w14:textId="77777777" w:rsidR="004B548B" w:rsidRPr="002E1225" w:rsidRDefault="004B548B" w:rsidP="004B548B">
      <w:pPr>
        <w:pStyle w:val="Heading2"/>
      </w:pPr>
      <w:r w:rsidRPr="002E1225">
        <w:t>Contact</w:t>
      </w:r>
    </w:p>
    <w:p w14:paraId="1ADEFC53" w14:textId="77777777" w:rsidR="004B548B" w:rsidRPr="002E1225" w:rsidRDefault="004B548B" w:rsidP="004B548B">
      <w:r w:rsidRPr="002E1225">
        <w:t>If you have a direct request concerning the response to COVID-19, regarding a brief, tools, additional technical expertise or remote analysis, or should you like to be considered for the network of advisers, please contact the Social Science in Humanitarian Action Platform by emailing Annie Lowden (</w:t>
      </w:r>
      <w:hyperlink r:id="rId13" w:history="1">
        <w:r w:rsidRPr="002E1225">
          <w:rPr>
            <w:rStyle w:val="Hyperlink"/>
          </w:rPr>
          <w:t>a.lowden@ids.ac.uk</w:t>
        </w:r>
      </w:hyperlink>
      <w:r w:rsidRPr="002E1225">
        <w:t>) or (</w:t>
      </w:r>
      <w:hyperlink r:id="rId14" w:history="1">
        <w:r w:rsidRPr="002E1225">
          <w:rPr>
            <w:rStyle w:val="Hyperlink"/>
          </w:rPr>
          <w:t>oliviatulloch@anthrologica.com</w:t>
        </w:r>
      </w:hyperlink>
      <w:r w:rsidRPr="002E1225">
        <w:t>).  Key Platform liaison points include: UNICEF (</w:t>
      </w:r>
      <w:hyperlink r:id="rId15" w:history="1">
        <w:r w:rsidRPr="002E1225">
          <w:rPr>
            <w:rStyle w:val="Hyperlink"/>
          </w:rPr>
          <w:t>nnaqvi@unicef.org</w:t>
        </w:r>
      </w:hyperlink>
      <w:r w:rsidRPr="002E1225">
        <w:t>); IFRC (</w:t>
      </w:r>
      <w:hyperlink r:id="rId16" w:history="1">
        <w:r w:rsidRPr="002E1225">
          <w:rPr>
            <w:rStyle w:val="Hyperlink"/>
          </w:rPr>
          <w:t>ombretta.baggio@ifrc.org</w:t>
        </w:r>
      </w:hyperlink>
      <w:r w:rsidRPr="002E1225">
        <w:t>); and GOARN Research Social Science Group (</w:t>
      </w:r>
      <w:hyperlink r:id="rId17" w:history="1">
        <w:r w:rsidRPr="002E1225">
          <w:rPr>
            <w:rStyle w:val="Hyperlink"/>
          </w:rPr>
          <w:t>nina.gobat@phc.ox.ac.uk</w:t>
        </w:r>
      </w:hyperlink>
      <w:r w:rsidRPr="002E1225">
        <w:t>).</w:t>
      </w:r>
    </w:p>
    <w:p w14:paraId="7782C2CF" w14:textId="77777777" w:rsidR="004B548B" w:rsidRPr="002E1225" w:rsidRDefault="004B548B" w:rsidP="004B548B">
      <w:pPr>
        <w:snapToGrid/>
        <w:spacing w:after="0" w:line="240" w:lineRule="auto"/>
        <w:ind w:left="0" w:right="0"/>
        <w:jc w:val="left"/>
        <w:rPr>
          <w:rFonts w:ascii="Times New Roman" w:eastAsia="Times New Roman" w:hAnsi="Times New Roman" w:cs="Times New Roman"/>
          <w:color w:val="auto"/>
          <w:lang w:eastAsia="en-GB"/>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76"/>
        <w:gridCol w:w="2001"/>
        <w:gridCol w:w="2179"/>
        <w:gridCol w:w="1354"/>
        <w:gridCol w:w="1406"/>
      </w:tblGrid>
      <w:tr w:rsidR="00EA54C4" w14:paraId="012731F3" w14:textId="77777777" w:rsidTr="0003382F">
        <w:trPr>
          <w:trHeight w:val="1537"/>
        </w:trPr>
        <w:tc>
          <w:tcPr>
            <w:tcW w:w="2076" w:type="dxa"/>
            <w:vAlign w:val="center"/>
          </w:tcPr>
          <w:p w14:paraId="4592C2E9" w14:textId="1C0DA7CF" w:rsidR="00EA54C4" w:rsidRDefault="00EA54C4" w:rsidP="0003382F">
            <w:pPr>
              <w:jc w:val="center"/>
            </w:pPr>
          </w:p>
        </w:tc>
        <w:tc>
          <w:tcPr>
            <w:tcW w:w="2001" w:type="dxa"/>
            <w:vAlign w:val="center"/>
          </w:tcPr>
          <w:p w14:paraId="2A4C3FE9" w14:textId="531839F8" w:rsidR="00EA54C4" w:rsidRDefault="00EA54C4" w:rsidP="0003382F">
            <w:pPr>
              <w:jc w:val="center"/>
            </w:pPr>
          </w:p>
        </w:tc>
        <w:tc>
          <w:tcPr>
            <w:tcW w:w="2179" w:type="dxa"/>
            <w:vAlign w:val="center"/>
          </w:tcPr>
          <w:p w14:paraId="4A3C8A43" w14:textId="4A805377" w:rsidR="00EA54C4" w:rsidRDefault="00EA54C4" w:rsidP="0003382F">
            <w:pPr>
              <w:jc w:val="center"/>
            </w:pPr>
          </w:p>
        </w:tc>
        <w:tc>
          <w:tcPr>
            <w:tcW w:w="1354" w:type="dxa"/>
            <w:vAlign w:val="center"/>
          </w:tcPr>
          <w:p w14:paraId="0F910429" w14:textId="36C0A361" w:rsidR="00EA54C4" w:rsidRDefault="00EA54C4" w:rsidP="0003382F">
            <w:pPr>
              <w:jc w:val="center"/>
            </w:pPr>
          </w:p>
        </w:tc>
        <w:tc>
          <w:tcPr>
            <w:tcW w:w="1406" w:type="dxa"/>
            <w:vAlign w:val="center"/>
          </w:tcPr>
          <w:p w14:paraId="495947E0" w14:textId="74D2B1FC" w:rsidR="00EA54C4" w:rsidRDefault="00EA54C4" w:rsidP="0003382F">
            <w:pPr>
              <w:jc w:val="center"/>
            </w:pPr>
          </w:p>
        </w:tc>
      </w:tr>
    </w:tbl>
    <w:p w14:paraId="1BA33372" w14:textId="3D1DB4B5" w:rsidR="004B548B" w:rsidRPr="002E1225" w:rsidRDefault="004B548B" w:rsidP="004B548B">
      <w:r w:rsidRPr="002E1225">
        <w:rPr>
          <w:shd w:val="clear" w:color="auto" w:fill="FFFFFF"/>
        </w:rPr>
        <w:t xml:space="preserve">The Social Science in Humanitarian Action is a partnership between the Institute of Development Studies, Anthrologica and the London School of Hygiene and Tropical Medicine.  Funding to support the Platform’s response to COVID-19 has been provided by the Wellcome Trust and </w:t>
      </w:r>
      <w:r w:rsidR="00AD4D96">
        <w:rPr>
          <w:shd w:val="clear" w:color="auto" w:fill="FFFFFF"/>
        </w:rPr>
        <w:t>FCDO.</w:t>
      </w:r>
    </w:p>
    <w:p w14:paraId="6E9FF058" w14:textId="77777777" w:rsidR="004B548B" w:rsidRPr="002E1225" w:rsidRDefault="004B548B" w:rsidP="004B548B"/>
    <w:p w14:paraId="08D45349" w14:textId="77777777" w:rsidR="004B548B" w:rsidRPr="002E1225" w:rsidRDefault="004B548B" w:rsidP="004B548B"/>
    <w:p w14:paraId="55D1D3FD" w14:textId="77777777" w:rsidR="004B548B" w:rsidRPr="002E1225" w:rsidRDefault="004B548B" w:rsidP="004B548B">
      <w:pPr>
        <w:sectPr w:rsidR="004B548B" w:rsidRPr="002E1225" w:rsidSect="0093203A">
          <w:endnotePr>
            <w:numFmt w:val="decimal"/>
          </w:endnotePr>
          <w:type w:val="continuous"/>
          <w:pgSz w:w="11901" w:h="16817"/>
          <w:pgMar w:top="987" w:right="567" w:bottom="1742" w:left="567" w:header="567" w:footer="454" w:gutter="0"/>
          <w:cols w:space="720"/>
          <w:titlePg/>
          <w:docGrid w:linePitch="360"/>
        </w:sectPr>
      </w:pPr>
    </w:p>
    <w:p w14:paraId="2EC51280" w14:textId="5F1D844F" w:rsidR="003227D2" w:rsidRPr="002E1225" w:rsidRDefault="004D43AC" w:rsidP="004966D4">
      <w:pPr>
        <w:pStyle w:val="Heading2"/>
      </w:pPr>
      <w:r w:rsidRPr="002E1225">
        <w:t>Re</w:t>
      </w:r>
      <w:r w:rsidR="00356C7A" w:rsidRPr="002E1225">
        <w:t>ferences</w:t>
      </w:r>
      <w:r w:rsidR="00447F95" w:rsidRPr="002E1225">
        <w:t xml:space="preserve"> </w:t>
      </w:r>
    </w:p>
    <w:p w14:paraId="33E81F4F" w14:textId="384BB16B" w:rsidR="004A4DA2" w:rsidRPr="002E1225" w:rsidRDefault="005606E7" w:rsidP="004A4DA2">
      <w:pPr>
        <w:widowControl w:val="0"/>
        <w:autoSpaceDE w:val="0"/>
        <w:autoSpaceDN w:val="0"/>
        <w:adjustRightInd w:val="0"/>
        <w:spacing w:after="120" w:line="240" w:lineRule="auto"/>
        <w:ind w:left="640" w:hanging="640"/>
        <w:rPr>
          <w:rFonts w:cs="Times New Roman"/>
          <w:noProof/>
          <w:sz w:val="21"/>
        </w:rPr>
      </w:pPr>
      <w:r w:rsidRPr="002E1225">
        <w:rPr>
          <w:sz w:val="21"/>
        </w:rPr>
        <w:fldChar w:fldCharType="begin" w:fldLock="1"/>
      </w:r>
      <w:r w:rsidRPr="002E1225">
        <w:rPr>
          <w:sz w:val="21"/>
        </w:rPr>
        <w:instrText xml:space="preserve">ADDIN Mendeley Bibliography CSL_BIBLIOGRAPHY </w:instrText>
      </w:r>
      <w:r w:rsidRPr="002E1225">
        <w:rPr>
          <w:sz w:val="21"/>
        </w:rPr>
        <w:fldChar w:fldCharType="separate"/>
      </w:r>
      <w:r w:rsidR="004A4DA2" w:rsidRPr="002E1225">
        <w:rPr>
          <w:rFonts w:cs="Times New Roman"/>
          <w:noProof/>
          <w:sz w:val="21"/>
        </w:rPr>
        <w:t xml:space="preserve">1. </w:t>
      </w:r>
      <w:r w:rsidR="004A4DA2" w:rsidRPr="002E1225">
        <w:rPr>
          <w:rFonts w:cs="Times New Roman"/>
          <w:noProof/>
          <w:sz w:val="21"/>
        </w:rPr>
        <w:tab/>
        <w:t xml:space="preserve">Butler, N., &amp; Tulloch, O. (2020). </w:t>
      </w:r>
      <w:r w:rsidR="004A4DA2" w:rsidRPr="002E1225">
        <w:rPr>
          <w:rFonts w:cs="Times New Roman"/>
          <w:i/>
          <w:iCs/>
          <w:noProof/>
          <w:sz w:val="21"/>
        </w:rPr>
        <w:t>Considerations and Principles for Shielding People at High Risk of Severe Outcomes from COVID-19</w:t>
      </w:r>
      <w:r w:rsidR="004A4DA2" w:rsidRPr="002E1225">
        <w:rPr>
          <w:rFonts w:cs="Times New Roman"/>
          <w:noProof/>
          <w:sz w:val="21"/>
        </w:rPr>
        <w:t>. Retrieved from https://www.socialscienceinaction.org/resources/considerations-principles-shielding-people-high-risk-severe-outcomes-covid-19/</w:t>
      </w:r>
    </w:p>
    <w:p w14:paraId="6B05F748"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2. </w:t>
      </w:r>
      <w:r w:rsidRPr="002E1225">
        <w:rPr>
          <w:rFonts w:cs="Times New Roman"/>
          <w:noProof/>
          <w:sz w:val="21"/>
        </w:rPr>
        <w:tab/>
        <w:t xml:space="preserve">Jayaram, K., Leke, A., Ooko-Ombaka, A., &amp; Sun, Y. S. (2020). </w:t>
      </w:r>
      <w:r w:rsidRPr="002E1225">
        <w:rPr>
          <w:rFonts w:cs="Times New Roman"/>
          <w:i/>
          <w:iCs/>
          <w:noProof/>
          <w:sz w:val="21"/>
        </w:rPr>
        <w:t>COVID-19 in Africa: Save lives and livelihoods</w:t>
      </w:r>
      <w:r w:rsidRPr="002E1225">
        <w:rPr>
          <w:rFonts w:cs="Times New Roman"/>
          <w:noProof/>
          <w:sz w:val="21"/>
        </w:rPr>
        <w:t>.</w:t>
      </w:r>
    </w:p>
    <w:p w14:paraId="5EEC8056"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3. </w:t>
      </w:r>
      <w:r w:rsidRPr="002E1225">
        <w:rPr>
          <w:rFonts w:cs="Times New Roman"/>
          <w:noProof/>
          <w:sz w:val="21"/>
        </w:rPr>
        <w:tab/>
        <w:t xml:space="preserve">Favas, C., Abdelmagid, N., Checchi, F., Garry, S., Jarrett, P., Ratnayake, R., &amp; Warsame, A. (2020). </w:t>
      </w:r>
      <w:r w:rsidRPr="002E1225">
        <w:rPr>
          <w:rFonts w:cs="Times New Roman"/>
          <w:i/>
          <w:iCs/>
          <w:noProof/>
          <w:sz w:val="21"/>
        </w:rPr>
        <w:t>Guidance for the prevention of COVID-19 infections among high-risk individuals in camp and camp-like settings</w:t>
      </w:r>
      <w:r w:rsidRPr="002E1225">
        <w:rPr>
          <w:rFonts w:cs="Times New Roman"/>
          <w:noProof/>
          <w:sz w:val="21"/>
        </w:rPr>
        <w:t>.</w:t>
      </w:r>
    </w:p>
    <w:p w14:paraId="320454C2"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4. </w:t>
      </w:r>
      <w:r w:rsidRPr="002E1225">
        <w:rPr>
          <w:rFonts w:cs="Times New Roman"/>
          <w:noProof/>
          <w:sz w:val="21"/>
        </w:rPr>
        <w:tab/>
        <w:t xml:space="preserve">Favas, C., Checchi, F., &amp; Waldman, R. J. (2020). </w:t>
      </w:r>
      <w:r w:rsidRPr="002E1225">
        <w:rPr>
          <w:rFonts w:cs="Times New Roman"/>
          <w:i/>
          <w:iCs/>
          <w:noProof/>
          <w:sz w:val="21"/>
        </w:rPr>
        <w:t>Guidance for the prevention of COVID-19 infections among high-risk individuals in urban settings</w:t>
      </w:r>
      <w:r w:rsidRPr="002E1225">
        <w:rPr>
          <w:rFonts w:cs="Times New Roman"/>
          <w:noProof/>
          <w:sz w:val="21"/>
        </w:rPr>
        <w:t>.</w:t>
      </w:r>
    </w:p>
    <w:p w14:paraId="6B34776E"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5. </w:t>
      </w:r>
      <w:r w:rsidRPr="002E1225">
        <w:rPr>
          <w:rFonts w:cs="Times New Roman"/>
          <w:noProof/>
          <w:sz w:val="21"/>
        </w:rPr>
        <w:tab/>
        <w:t xml:space="preserve">Bennett: Isolating the elderly as nation develops herd immunity is key to defeating virus. (2020, March 20). </w:t>
      </w:r>
      <w:r w:rsidRPr="002E1225">
        <w:rPr>
          <w:rFonts w:cs="Times New Roman"/>
          <w:i/>
          <w:iCs/>
          <w:noProof/>
          <w:sz w:val="21"/>
        </w:rPr>
        <w:t>i24NEWS</w:t>
      </w:r>
      <w:r w:rsidRPr="002E1225">
        <w:rPr>
          <w:rFonts w:cs="Times New Roman"/>
          <w:noProof/>
          <w:sz w:val="21"/>
        </w:rPr>
        <w:t>. Retrieved from https://www.i24news.tv/en/news/israel/1584727140-bennett-isolating-the-elderly-as-nation-develops-herd-immunity-is-key-to-defeating-virus</w:t>
      </w:r>
    </w:p>
    <w:p w14:paraId="56D6B8D0"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6. </w:t>
      </w:r>
      <w:r w:rsidRPr="002E1225">
        <w:rPr>
          <w:rFonts w:cs="Times New Roman"/>
          <w:noProof/>
          <w:sz w:val="21"/>
        </w:rPr>
        <w:tab/>
        <w:t>Israeli soldiers’ new frontier: Delivering food to grandma - www.israelhayom.com. (n.d.). Retrieved July 30, 2020, from https://www.israelhayom.com/2020/03/25/israeli-soldiers-new-frontier-delivering-food-to-grandma/</w:t>
      </w:r>
    </w:p>
    <w:p w14:paraId="067CD52A"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7. </w:t>
      </w:r>
      <w:r w:rsidRPr="002E1225">
        <w:rPr>
          <w:rFonts w:cs="Times New Roman"/>
          <w:noProof/>
          <w:sz w:val="21"/>
        </w:rPr>
        <w:tab/>
        <w:t xml:space="preserve">McKeigue, P. M., &amp; Colhoun, H. M. (2020). Evaluation of “stratify and shield” as a policy option for ending the COVID-19 lockdown in the UK. </w:t>
      </w:r>
      <w:r w:rsidRPr="002E1225">
        <w:rPr>
          <w:rFonts w:cs="Times New Roman"/>
          <w:i/>
          <w:iCs/>
          <w:noProof/>
          <w:sz w:val="21"/>
        </w:rPr>
        <w:t>medRxiv</w:t>
      </w:r>
      <w:r w:rsidRPr="002E1225">
        <w:rPr>
          <w:rFonts w:cs="Times New Roman"/>
          <w:noProof/>
          <w:sz w:val="21"/>
        </w:rPr>
        <w:t>, 2020.04.25.20079913. https://doi.org/10.1101/2020.04.25.20079913</w:t>
      </w:r>
    </w:p>
    <w:p w14:paraId="7E0A5850"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8. </w:t>
      </w:r>
      <w:r w:rsidRPr="002E1225">
        <w:rPr>
          <w:rFonts w:cs="Times New Roman"/>
          <w:noProof/>
          <w:sz w:val="21"/>
        </w:rPr>
        <w:tab/>
        <w:t xml:space="preserve">Sudan begins easing coronavirus lockdown measures. (2020, July 8). </w:t>
      </w:r>
      <w:r w:rsidRPr="002E1225">
        <w:rPr>
          <w:rFonts w:cs="Times New Roman"/>
          <w:i/>
          <w:iCs/>
          <w:noProof/>
          <w:sz w:val="21"/>
        </w:rPr>
        <w:t>Al-Jazeera</w:t>
      </w:r>
      <w:r w:rsidRPr="002E1225">
        <w:rPr>
          <w:rFonts w:cs="Times New Roman"/>
          <w:noProof/>
          <w:sz w:val="21"/>
        </w:rPr>
        <w:t>. Retrieved from https://www.aljazeera.com/news/2020/07/sudan-begins-easing-coronavirus-lockdown-measures-200708151450416.html</w:t>
      </w:r>
    </w:p>
    <w:p w14:paraId="6DEAEDC5"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9. </w:t>
      </w:r>
      <w:r w:rsidRPr="002E1225">
        <w:rPr>
          <w:rFonts w:cs="Times New Roman"/>
          <w:noProof/>
          <w:sz w:val="21"/>
        </w:rPr>
        <w:tab/>
      </w:r>
      <w:r w:rsidRPr="002E1225">
        <w:rPr>
          <w:rFonts w:cs="Times New Roman"/>
          <w:i/>
          <w:iCs/>
          <w:noProof/>
          <w:sz w:val="21"/>
        </w:rPr>
        <w:t>Shielding of high risk groups against COVID-19 infection risk in Sudan - a study of community acceptability and feasibility in Sudan</w:t>
      </w:r>
      <w:r w:rsidRPr="002E1225">
        <w:rPr>
          <w:rFonts w:cs="Times New Roman"/>
          <w:noProof/>
          <w:sz w:val="21"/>
        </w:rPr>
        <w:t>. (2020).</w:t>
      </w:r>
    </w:p>
    <w:p w14:paraId="68B09061"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10. </w:t>
      </w:r>
      <w:r w:rsidRPr="002E1225">
        <w:rPr>
          <w:rFonts w:cs="Times New Roman"/>
          <w:noProof/>
          <w:sz w:val="21"/>
        </w:rPr>
        <w:tab/>
      </w:r>
      <w:r w:rsidRPr="002E1225">
        <w:rPr>
          <w:rFonts w:cs="Times New Roman"/>
          <w:i/>
          <w:iCs/>
          <w:noProof/>
          <w:sz w:val="21"/>
        </w:rPr>
        <w:t>Analyse protection a base communautaire en lien avec la pandémie de COVID-19: Ville et Commune de Goma, Quartier de Kahembe</w:t>
      </w:r>
      <w:r w:rsidRPr="002E1225">
        <w:rPr>
          <w:rFonts w:cs="Times New Roman"/>
          <w:noProof/>
          <w:sz w:val="21"/>
        </w:rPr>
        <w:t>. (2020).</w:t>
      </w:r>
    </w:p>
    <w:p w14:paraId="589FD624"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11. </w:t>
      </w:r>
      <w:r w:rsidRPr="002E1225">
        <w:rPr>
          <w:rFonts w:cs="Times New Roman"/>
          <w:noProof/>
          <w:sz w:val="21"/>
        </w:rPr>
        <w:tab/>
      </w:r>
      <w:r w:rsidRPr="002E1225">
        <w:rPr>
          <w:rFonts w:cs="Times New Roman"/>
          <w:i/>
          <w:iCs/>
          <w:noProof/>
          <w:sz w:val="21"/>
        </w:rPr>
        <w:t>Analyse protection a base communautaire en lien avec la pandémie du coronavirus: Quartier de Mikelenge, Ville de Kindu, Province du Maniema</w:t>
      </w:r>
      <w:r w:rsidRPr="002E1225">
        <w:rPr>
          <w:rFonts w:cs="Times New Roman"/>
          <w:noProof/>
          <w:sz w:val="21"/>
        </w:rPr>
        <w:t>. (2020).</w:t>
      </w:r>
    </w:p>
    <w:p w14:paraId="06E71B6B"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12. </w:t>
      </w:r>
      <w:r w:rsidRPr="002E1225">
        <w:rPr>
          <w:rFonts w:cs="Times New Roman"/>
          <w:noProof/>
          <w:sz w:val="21"/>
        </w:rPr>
        <w:tab/>
      </w:r>
      <w:r w:rsidRPr="002E1225">
        <w:rPr>
          <w:rFonts w:cs="Times New Roman"/>
          <w:i/>
          <w:iCs/>
          <w:noProof/>
          <w:sz w:val="21"/>
        </w:rPr>
        <w:t>Perceptions &amp; comportements de mesures de barrieres enguete a Goma</w:t>
      </w:r>
      <w:r w:rsidRPr="002E1225">
        <w:rPr>
          <w:rFonts w:cs="Times New Roman"/>
          <w:noProof/>
          <w:sz w:val="21"/>
        </w:rPr>
        <w:t>. (2020).</w:t>
      </w:r>
    </w:p>
    <w:p w14:paraId="6B138068"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13. </w:t>
      </w:r>
      <w:r w:rsidRPr="002E1225">
        <w:rPr>
          <w:rFonts w:cs="Times New Roman"/>
          <w:noProof/>
          <w:sz w:val="21"/>
        </w:rPr>
        <w:tab/>
      </w:r>
      <w:r w:rsidRPr="002E1225">
        <w:rPr>
          <w:rFonts w:cs="Times New Roman"/>
          <w:i/>
          <w:iCs/>
          <w:noProof/>
          <w:sz w:val="21"/>
        </w:rPr>
        <w:t>Analyse protection a base communautaire en lien avec la pandémie du coronavirus: Site de déplacé(e)s ISP, Quartier de Muzipela, Ville de Bunia, Province de l’Ituri</w:t>
      </w:r>
      <w:r w:rsidRPr="002E1225">
        <w:rPr>
          <w:rFonts w:cs="Times New Roman"/>
          <w:noProof/>
          <w:sz w:val="21"/>
        </w:rPr>
        <w:t>. (2020).</w:t>
      </w:r>
    </w:p>
    <w:p w14:paraId="6631F9E2"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14. </w:t>
      </w:r>
      <w:r w:rsidRPr="002E1225">
        <w:rPr>
          <w:rFonts w:cs="Times New Roman"/>
          <w:noProof/>
          <w:sz w:val="21"/>
        </w:rPr>
        <w:tab/>
      </w:r>
      <w:r w:rsidRPr="002E1225">
        <w:rPr>
          <w:rFonts w:cs="Times New Roman"/>
          <w:i/>
          <w:iCs/>
          <w:noProof/>
          <w:sz w:val="21"/>
        </w:rPr>
        <w:t>Analyse protection a base communautaire en lien avec la pandémie du coronavirus: Quartier de Ndosho, Ville de Goma, Province du Nord Kivu</w:t>
      </w:r>
      <w:r w:rsidRPr="002E1225">
        <w:rPr>
          <w:rFonts w:cs="Times New Roman"/>
          <w:noProof/>
          <w:sz w:val="21"/>
        </w:rPr>
        <w:t>. (n.d.).</w:t>
      </w:r>
    </w:p>
    <w:p w14:paraId="264C46B8"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15. </w:t>
      </w:r>
      <w:r w:rsidRPr="002E1225">
        <w:rPr>
          <w:rFonts w:cs="Times New Roman"/>
          <w:noProof/>
          <w:sz w:val="21"/>
        </w:rPr>
        <w:tab/>
        <w:t xml:space="preserve">Douedari, Y., Alhaffar, M., Al Twaish, M., Mkhallalati, H., Alwany, R., Bte Mohamed Ibrahim, N., … Howard, N. (2020). Initial responses to the COVID-19 pandemic in northwest Syrian displacement camps: A qualitative study of perceptions and experiences among displaced Syrians. </w:t>
      </w:r>
      <w:r w:rsidRPr="002E1225">
        <w:rPr>
          <w:rFonts w:cs="Times New Roman"/>
          <w:i/>
          <w:iCs/>
          <w:noProof/>
          <w:sz w:val="21"/>
        </w:rPr>
        <w:t>In preparation</w:t>
      </w:r>
      <w:r w:rsidRPr="002E1225">
        <w:rPr>
          <w:rFonts w:cs="Times New Roman"/>
          <w:noProof/>
          <w:sz w:val="21"/>
        </w:rPr>
        <w:t>.</w:t>
      </w:r>
    </w:p>
    <w:p w14:paraId="5741BEBC"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16. </w:t>
      </w:r>
      <w:r w:rsidRPr="002E1225">
        <w:rPr>
          <w:rFonts w:cs="Times New Roman"/>
          <w:noProof/>
          <w:sz w:val="21"/>
        </w:rPr>
        <w:tab/>
        <w:t xml:space="preserve">Raveendran, A. V., &amp; Jayadevan, R. (2020). Reverse quarantine and COVID-19. </w:t>
      </w:r>
      <w:r w:rsidRPr="002E1225">
        <w:rPr>
          <w:rFonts w:cs="Times New Roman"/>
          <w:i/>
          <w:iCs/>
          <w:noProof/>
          <w:sz w:val="21"/>
        </w:rPr>
        <w:t>Diabetes &amp; Metabolic Syndrome: Clinical Research &amp; Reviews</w:t>
      </w:r>
      <w:r w:rsidRPr="002E1225">
        <w:rPr>
          <w:rFonts w:cs="Times New Roman"/>
          <w:noProof/>
          <w:sz w:val="21"/>
        </w:rPr>
        <w:t xml:space="preserve">, </w:t>
      </w:r>
      <w:r w:rsidRPr="002E1225">
        <w:rPr>
          <w:rFonts w:cs="Times New Roman"/>
          <w:i/>
          <w:iCs/>
          <w:noProof/>
          <w:sz w:val="21"/>
        </w:rPr>
        <w:t>14</w:t>
      </w:r>
      <w:r w:rsidRPr="002E1225">
        <w:rPr>
          <w:rFonts w:cs="Times New Roman"/>
          <w:noProof/>
          <w:sz w:val="21"/>
        </w:rPr>
        <w:t>(5), 1323–1325. https://doi.org/10.1016/j.dsx.2020.07.029</w:t>
      </w:r>
    </w:p>
    <w:p w14:paraId="103F0D7D"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17. </w:t>
      </w:r>
      <w:r w:rsidRPr="002E1225">
        <w:rPr>
          <w:rFonts w:cs="Times New Roman"/>
          <w:noProof/>
          <w:sz w:val="21"/>
        </w:rPr>
        <w:tab/>
        <w:t xml:space="preserve">Gulia, K. K., &amp; Kumar, V. M. (2020). Reverse quarantine in Kerala: managing the 2019 novel coronavirus in a state with a relatively large elderly population. </w:t>
      </w:r>
      <w:r w:rsidRPr="002E1225">
        <w:rPr>
          <w:rFonts w:cs="Times New Roman"/>
          <w:i/>
          <w:iCs/>
          <w:noProof/>
          <w:sz w:val="21"/>
        </w:rPr>
        <w:t>Psychogeriatrics</w:t>
      </w:r>
      <w:r w:rsidRPr="002E1225">
        <w:rPr>
          <w:rFonts w:cs="Times New Roman"/>
          <w:noProof/>
          <w:sz w:val="21"/>
        </w:rPr>
        <w:t>, psyg.12582. https://doi.org/10.1111/psyg.12582</w:t>
      </w:r>
    </w:p>
    <w:p w14:paraId="5DF52A0F"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18. </w:t>
      </w:r>
      <w:r w:rsidRPr="002E1225">
        <w:rPr>
          <w:rFonts w:cs="Times New Roman"/>
          <w:noProof/>
          <w:sz w:val="21"/>
        </w:rPr>
        <w:tab/>
        <w:t xml:space="preserve">COVID-19: In a first, Ahmedabad to implement reverse quarantine for safety of pregnant women, elderly. (2020, June 3). </w:t>
      </w:r>
      <w:r w:rsidRPr="002E1225">
        <w:rPr>
          <w:rFonts w:cs="Times New Roman"/>
          <w:i/>
          <w:iCs/>
          <w:noProof/>
          <w:sz w:val="21"/>
        </w:rPr>
        <w:t>Financial Express</w:t>
      </w:r>
      <w:r w:rsidRPr="002E1225">
        <w:rPr>
          <w:rFonts w:cs="Times New Roman"/>
          <w:noProof/>
          <w:sz w:val="21"/>
        </w:rPr>
        <w:t>. Retrieved from https://www.financialexpress.com/lifestyle/health/covid-19-in-a-first-ahmedabad-to-implement-reverse-quarantine-for-safety-of-pregnant-women-elderly/1980109/</w:t>
      </w:r>
    </w:p>
    <w:p w14:paraId="215B5D63"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19. </w:t>
      </w:r>
      <w:r w:rsidRPr="002E1225">
        <w:rPr>
          <w:rFonts w:cs="Times New Roman"/>
          <w:noProof/>
          <w:sz w:val="21"/>
        </w:rPr>
        <w:tab/>
        <w:t>Rural ahmedabad: ‘Reverse quarantine’ for pregnant women and the elderly, says govt | Cities News,The Indian Express. (n.d.). Retrieved July 30, 2020, from https://indianexpress.com/article/cities/ahmedabad/rural-ahmedabad-reverse-quarantine-for-pregnant-women-and-the-elderly-says-govt-6439662/</w:t>
      </w:r>
    </w:p>
    <w:p w14:paraId="491A73EF"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20. </w:t>
      </w:r>
      <w:r w:rsidRPr="002E1225">
        <w:rPr>
          <w:rFonts w:cs="Times New Roman"/>
          <w:noProof/>
          <w:sz w:val="21"/>
        </w:rPr>
        <w:tab/>
        <w:t xml:space="preserve">Snyder, S. (2020, June 4). Yemen faces spread of COVID-19 “with no health care system at all.” </w:t>
      </w:r>
      <w:r w:rsidRPr="002E1225">
        <w:rPr>
          <w:rFonts w:cs="Times New Roman"/>
          <w:i/>
          <w:iCs/>
          <w:noProof/>
          <w:sz w:val="21"/>
        </w:rPr>
        <w:t>The World</w:t>
      </w:r>
      <w:r w:rsidRPr="002E1225">
        <w:rPr>
          <w:rFonts w:cs="Times New Roman"/>
          <w:noProof/>
          <w:sz w:val="21"/>
        </w:rPr>
        <w:t>. Retrieved from https://www.pri.org/stories/2020-06-04/yemen-faces-spread-covid-19-no-health-care-system-all</w:t>
      </w:r>
    </w:p>
    <w:p w14:paraId="16DE70EB"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21. </w:t>
      </w:r>
      <w:r w:rsidRPr="002E1225">
        <w:rPr>
          <w:rFonts w:cs="Times New Roman"/>
          <w:noProof/>
          <w:sz w:val="21"/>
        </w:rPr>
        <w:tab/>
        <w:t xml:space="preserve">Coronavirus COVID-19 has made Yemen’s health system collapse complete. (2020). </w:t>
      </w:r>
      <w:r w:rsidRPr="002E1225">
        <w:rPr>
          <w:rFonts w:cs="Times New Roman"/>
          <w:i/>
          <w:iCs/>
          <w:noProof/>
          <w:sz w:val="21"/>
        </w:rPr>
        <w:t>MSF</w:t>
      </w:r>
      <w:r w:rsidRPr="002E1225">
        <w:rPr>
          <w:rFonts w:cs="Times New Roman"/>
          <w:noProof/>
          <w:sz w:val="21"/>
        </w:rPr>
        <w:t>. Retrieved July 13, 2020, from https://www.msf.org/covid-19-has-made-yemen-health-system-collapse-complete</w:t>
      </w:r>
    </w:p>
    <w:p w14:paraId="6E9E99B8"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22. </w:t>
      </w:r>
      <w:r w:rsidRPr="002E1225">
        <w:rPr>
          <w:rFonts w:cs="Times New Roman"/>
          <w:noProof/>
          <w:sz w:val="21"/>
        </w:rPr>
        <w:tab/>
        <w:t xml:space="preserve">Danish Refugee Council, &amp; Yemen Displacement Response. (2020). </w:t>
      </w:r>
      <w:r w:rsidRPr="002E1225">
        <w:rPr>
          <w:rFonts w:cs="Times New Roman"/>
          <w:i/>
          <w:iCs/>
          <w:noProof/>
          <w:sz w:val="21"/>
        </w:rPr>
        <w:t>Protecting the high-risk from COVID-19 through community shielding</w:t>
      </w:r>
      <w:r w:rsidRPr="002E1225">
        <w:rPr>
          <w:rFonts w:cs="Times New Roman"/>
          <w:noProof/>
          <w:sz w:val="21"/>
        </w:rPr>
        <w:t>.</w:t>
      </w:r>
    </w:p>
    <w:p w14:paraId="557C2A71"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23. </w:t>
      </w:r>
      <w:r w:rsidRPr="002E1225">
        <w:rPr>
          <w:rFonts w:cs="Times New Roman"/>
          <w:noProof/>
          <w:sz w:val="21"/>
        </w:rPr>
        <w:tab/>
        <w:t xml:space="preserve">Danish Refugee Council, &amp; Yemen Displacement Response. (2020). </w:t>
      </w:r>
      <w:r w:rsidRPr="002E1225">
        <w:rPr>
          <w:rFonts w:cs="Times New Roman"/>
          <w:i/>
          <w:iCs/>
          <w:noProof/>
          <w:sz w:val="21"/>
        </w:rPr>
        <w:t>Community consultation guide: Community shielding, Phase 1 site level consultation</w:t>
      </w:r>
      <w:r w:rsidRPr="002E1225">
        <w:rPr>
          <w:rFonts w:cs="Times New Roman"/>
          <w:noProof/>
          <w:sz w:val="21"/>
        </w:rPr>
        <w:t>.</w:t>
      </w:r>
    </w:p>
    <w:p w14:paraId="177521F8"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24. </w:t>
      </w:r>
      <w:r w:rsidRPr="002E1225">
        <w:rPr>
          <w:rFonts w:cs="Times New Roman"/>
          <w:noProof/>
          <w:sz w:val="21"/>
        </w:rPr>
        <w:tab/>
        <w:t xml:space="preserve">CCCM Cluster. (2020). </w:t>
      </w:r>
      <w:r w:rsidRPr="002E1225">
        <w:rPr>
          <w:rFonts w:cs="Times New Roman"/>
          <w:i/>
          <w:iCs/>
          <w:noProof/>
          <w:sz w:val="21"/>
        </w:rPr>
        <w:t>CCCM cluster guidance on shielding of vulnerable populations in IDP-hosting sites in Yemen.</w:t>
      </w:r>
    </w:p>
    <w:p w14:paraId="03A4F6AC"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25. </w:t>
      </w:r>
      <w:r w:rsidRPr="002E1225">
        <w:rPr>
          <w:rFonts w:cs="Times New Roman"/>
          <w:noProof/>
          <w:sz w:val="21"/>
        </w:rPr>
        <w:tab/>
        <w:t xml:space="preserve">Danish Refugee Council. (2020). </w:t>
      </w:r>
      <w:r w:rsidRPr="002E1225">
        <w:rPr>
          <w:rFonts w:cs="Times New Roman"/>
          <w:i/>
          <w:iCs/>
          <w:noProof/>
          <w:sz w:val="21"/>
        </w:rPr>
        <w:t>Yemen displacement response</w:t>
      </w:r>
      <w:r w:rsidRPr="002E1225">
        <w:rPr>
          <w:rFonts w:cs="Times New Roman"/>
          <w:noProof/>
          <w:sz w:val="21"/>
        </w:rPr>
        <w:t>.</w:t>
      </w:r>
    </w:p>
    <w:p w14:paraId="6A97D436"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26. </w:t>
      </w:r>
      <w:r w:rsidRPr="002E1225">
        <w:rPr>
          <w:rFonts w:cs="Times New Roman"/>
          <w:noProof/>
          <w:sz w:val="21"/>
        </w:rPr>
        <w:tab/>
        <w:t xml:space="preserve">CCCM Cluster. (2020). </w:t>
      </w:r>
      <w:r w:rsidRPr="002E1225">
        <w:rPr>
          <w:rFonts w:cs="Times New Roman"/>
          <w:i/>
          <w:iCs/>
          <w:noProof/>
          <w:sz w:val="21"/>
        </w:rPr>
        <w:t>CCCM Cluster on shielding of vulnerabe populations in IDP-hosting sites in Yemen: Initial lessons learnt</w:t>
      </w:r>
      <w:r w:rsidRPr="002E1225">
        <w:rPr>
          <w:rFonts w:cs="Times New Roman"/>
          <w:noProof/>
          <w:sz w:val="21"/>
        </w:rPr>
        <w:t>.</w:t>
      </w:r>
    </w:p>
    <w:p w14:paraId="5DB51081"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27. </w:t>
      </w:r>
      <w:r w:rsidRPr="002E1225">
        <w:rPr>
          <w:rFonts w:cs="Times New Roman"/>
          <w:noProof/>
          <w:sz w:val="21"/>
        </w:rPr>
        <w:tab/>
        <w:t xml:space="preserve">Seifu Estifanos, A., Alemu, G., Negussie, S., Ero, D., Mengistu, Y., Addissie, A., … Wondimagegn, D. (2020). ‘I exist because of we’: shielding as a communal ethic of maintaining social bonds during the COVID-19 response in Ethiopia. </w:t>
      </w:r>
      <w:r w:rsidRPr="002E1225">
        <w:rPr>
          <w:rFonts w:cs="Times New Roman"/>
          <w:i/>
          <w:iCs/>
          <w:noProof/>
          <w:sz w:val="21"/>
        </w:rPr>
        <w:t>BMJ Global Health</w:t>
      </w:r>
      <w:r w:rsidRPr="002E1225">
        <w:rPr>
          <w:rFonts w:cs="Times New Roman"/>
          <w:noProof/>
          <w:sz w:val="21"/>
        </w:rPr>
        <w:t xml:space="preserve">, </w:t>
      </w:r>
      <w:r w:rsidRPr="002E1225">
        <w:rPr>
          <w:rFonts w:cs="Times New Roman"/>
          <w:i/>
          <w:iCs/>
          <w:noProof/>
          <w:sz w:val="21"/>
        </w:rPr>
        <w:t>5</w:t>
      </w:r>
      <w:r w:rsidRPr="002E1225">
        <w:rPr>
          <w:rFonts w:cs="Times New Roman"/>
          <w:noProof/>
          <w:sz w:val="21"/>
        </w:rPr>
        <w:t>(7), e003204. https://doi.org/10.1136/bmjgh-2020-003204</w:t>
      </w:r>
    </w:p>
    <w:p w14:paraId="06470C7E"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28. </w:t>
      </w:r>
      <w:r w:rsidRPr="002E1225">
        <w:rPr>
          <w:rFonts w:cs="Times New Roman"/>
          <w:noProof/>
          <w:sz w:val="21"/>
        </w:rPr>
        <w:tab/>
        <w:t xml:space="preserve">Anthrologica. (2020). </w:t>
      </w:r>
      <w:r w:rsidRPr="002E1225">
        <w:rPr>
          <w:rFonts w:cs="Times New Roman"/>
          <w:i/>
          <w:iCs/>
          <w:noProof/>
          <w:sz w:val="21"/>
        </w:rPr>
        <w:t>Compliance with Physical Distancing Measures for COVID-19 and Implications for RCCE in Eastern and Southern Africa</w:t>
      </w:r>
      <w:r w:rsidRPr="002E1225">
        <w:rPr>
          <w:rFonts w:cs="Times New Roman"/>
          <w:noProof/>
          <w:sz w:val="21"/>
        </w:rPr>
        <w:t>. Retrieved from https://www.socialscienceinaction.org/resources/compliance-physical-distancing-measures-covid-19-implications-rcce-eastern-southern-africa-april-2020/</w:t>
      </w:r>
    </w:p>
    <w:p w14:paraId="6EB6F944"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29. </w:t>
      </w:r>
      <w:r w:rsidRPr="002E1225">
        <w:rPr>
          <w:rFonts w:cs="Times New Roman"/>
          <w:noProof/>
          <w:sz w:val="21"/>
        </w:rPr>
        <w:tab/>
        <w:t xml:space="preserve">Wilkinson, A., &amp; Fairhead, J. (2017). Comparison of social resistance to Ebola response in Sierra Leone and Guinea suggests explanations lie in political configurations not culture. </w:t>
      </w:r>
      <w:r w:rsidRPr="002E1225">
        <w:rPr>
          <w:rFonts w:cs="Times New Roman"/>
          <w:i/>
          <w:iCs/>
          <w:noProof/>
          <w:sz w:val="21"/>
        </w:rPr>
        <w:t>Critical Public Health</w:t>
      </w:r>
      <w:r w:rsidRPr="002E1225">
        <w:rPr>
          <w:rFonts w:cs="Times New Roman"/>
          <w:noProof/>
          <w:sz w:val="21"/>
        </w:rPr>
        <w:t xml:space="preserve">, </w:t>
      </w:r>
      <w:r w:rsidRPr="002E1225">
        <w:rPr>
          <w:rFonts w:cs="Times New Roman"/>
          <w:i/>
          <w:iCs/>
          <w:noProof/>
          <w:sz w:val="21"/>
        </w:rPr>
        <w:t>27</w:t>
      </w:r>
      <w:r w:rsidRPr="002E1225">
        <w:rPr>
          <w:rFonts w:cs="Times New Roman"/>
          <w:noProof/>
          <w:sz w:val="21"/>
        </w:rPr>
        <w:t>(1), 14–27. https://doi.org/10.1080/09581596.2016.1252034</w:t>
      </w:r>
    </w:p>
    <w:p w14:paraId="7C858815"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30. </w:t>
      </w:r>
      <w:r w:rsidRPr="002E1225">
        <w:rPr>
          <w:rFonts w:cs="Times New Roman"/>
          <w:noProof/>
          <w:sz w:val="21"/>
        </w:rPr>
        <w:tab/>
        <w:t xml:space="preserve">Bargain, O., &amp; Aminjonov, U. (2020). </w:t>
      </w:r>
      <w:r w:rsidRPr="002E1225">
        <w:rPr>
          <w:rFonts w:cs="Times New Roman"/>
          <w:i/>
          <w:iCs/>
          <w:noProof/>
          <w:sz w:val="21"/>
        </w:rPr>
        <w:t>Trust and Compliance to Public Health Policies in Times of Covid-19</w:t>
      </w:r>
      <w:r w:rsidRPr="002E1225">
        <w:rPr>
          <w:rFonts w:cs="Times New Roman"/>
          <w:noProof/>
          <w:sz w:val="21"/>
        </w:rPr>
        <w:t>. Retrieved from https://papers.ssrn.com/sol3/papers.cfm?abstract_id=3596671</w:t>
      </w:r>
    </w:p>
    <w:p w14:paraId="29C27A80"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31. </w:t>
      </w:r>
      <w:r w:rsidRPr="002E1225">
        <w:rPr>
          <w:rFonts w:cs="Times New Roman"/>
          <w:noProof/>
          <w:sz w:val="21"/>
        </w:rPr>
        <w:tab/>
        <w:t xml:space="preserve">Abramowitz, S. (2017). Epidemics (Especially Ebola). </w:t>
      </w:r>
      <w:r w:rsidRPr="002E1225">
        <w:rPr>
          <w:rFonts w:cs="Times New Roman"/>
          <w:i/>
          <w:iCs/>
          <w:noProof/>
          <w:sz w:val="21"/>
        </w:rPr>
        <w:t>Annual Review of Anthropology</w:t>
      </w:r>
      <w:r w:rsidRPr="002E1225">
        <w:rPr>
          <w:rFonts w:cs="Times New Roman"/>
          <w:noProof/>
          <w:sz w:val="21"/>
        </w:rPr>
        <w:t xml:space="preserve">, </w:t>
      </w:r>
      <w:r w:rsidRPr="002E1225">
        <w:rPr>
          <w:rFonts w:cs="Times New Roman"/>
          <w:i/>
          <w:iCs/>
          <w:noProof/>
          <w:sz w:val="21"/>
        </w:rPr>
        <w:t>46</w:t>
      </w:r>
      <w:r w:rsidRPr="002E1225">
        <w:rPr>
          <w:rFonts w:cs="Times New Roman"/>
          <w:noProof/>
          <w:sz w:val="21"/>
        </w:rPr>
        <w:t>(1), 421–445. https://doi.org/10.1146/annurev-anthro-102116-041616</w:t>
      </w:r>
    </w:p>
    <w:p w14:paraId="24E2577E"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32. </w:t>
      </w:r>
      <w:r w:rsidRPr="002E1225">
        <w:rPr>
          <w:rFonts w:cs="Times New Roman"/>
          <w:noProof/>
          <w:sz w:val="21"/>
        </w:rPr>
        <w:tab/>
        <w:t xml:space="preserve">Dryhurst, S., Schneider, C. R., Kerr, J., Freeman, A. L. J., Recchia, G., van der Bles, A. M., … van der Linden, S. (2020). Risk perceptions of COVID-19 around the world. </w:t>
      </w:r>
      <w:r w:rsidRPr="002E1225">
        <w:rPr>
          <w:rFonts w:cs="Times New Roman"/>
          <w:i/>
          <w:iCs/>
          <w:noProof/>
          <w:sz w:val="21"/>
        </w:rPr>
        <w:t>Journal of Risk Research</w:t>
      </w:r>
      <w:r w:rsidRPr="002E1225">
        <w:rPr>
          <w:rFonts w:cs="Times New Roman"/>
          <w:noProof/>
          <w:sz w:val="21"/>
        </w:rPr>
        <w:t>, 1–13. https://doi.org/10.1080/13669877.2020.1758193</w:t>
      </w:r>
    </w:p>
    <w:p w14:paraId="1A435232"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33. </w:t>
      </w:r>
      <w:r w:rsidRPr="002E1225">
        <w:rPr>
          <w:rFonts w:cs="Times New Roman"/>
          <w:noProof/>
          <w:sz w:val="21"/>
        </w:rPr>
        <w:tab/>
        <w:t xml:space="preserve">Communicating the risks to health posed by COVID-19 is key to protecting populations and mitigating spread. (2020). </w:t>
      </w:r>
      <w:r w:rsidRPr="002E1225">
        <w:rPr>
          <w:rFonts w:cs="Times New Roman"/>
          <w:i/>
          <w:iCs/>
          <w:noProof/>
          <w:sz w:val="21"/>
        </w:rPr>
        <w:t>Pan American Health Organization</w:t>
      </w:r>
      <w:r w:rsidRPr="002E1225">
        <w:rPr>
          <w:rFonts w:cs="Times New Roman"/>
          <w:noProof/>
          <w:sz w:val="21"/>
        </w:rPr>
        <w:t>. Retrieved July 10, 2020, from https://www.paho.org/en/news/4-3-2020-communicating-risks-health-posed-covid-19-key-protecting-populations-and-mitigating</w:t>
      </w:r>
    </w:p>
    <w:p w14:paraId="23B4FE57"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34. </w:t>
      </w:r>
      <w:r w:rsidRPr="002E1225">
        <w:rPr>
          <w:rFonts w:cs="Times New Roman"/>
          <w:noProof/>
          <w:sz w:val="21"/>
        </w:rPr>
        <w:tab/>
        <w:t xml:space="preserve">Shaw, R., Kim, Y., &amp; Hua, J. (2020). Governance, technology and citizen behavior in pandemic: Lessons from COVID-19 in East Asia. </w:t>
      </w:r>
      <w:r w:rsidRPr="002E1225">
        <w:rPr>
          <w:rFonts w:cs="Times New Roman"/>
          <w:i/>
          <w:iCs/>
          <w:noProof/>
          <w:sz w:val="21"/>
        </w:rPr>
        <w:t>Progress in Disaster Science</w:t>
      </w:r>
      <w:r w:rsidRPr="002E1225">
        <w:rPr>
          <w:rFonts w:cs="Times New Roman"/>
          <w:noProof/>
          <w:sz w:val="21"/>
        </w:rPr>
        <w:t xml:space="preserve">, </w:t>
      </w:r>
      <w:r w:rsidRPr="002E1225">
        <w:rPr>
          <w:rFonts w:cs="Times New Roman"/>
          <w:i/>
          <w:iCs/>
          <w:noProof/>
          <w:sz w:val="21"/>
        </w:rPr>
        <w:t>6</w:t>
      </w:r>
      <w:r w:rsidRPr="002E1225">
        <w:rPr>
          <w:rFonts w:cs="Times New Roman"/>
          <w:noProof/>
          <w:sz w:val="21"/>
        </w:rPr>
        <w:t>, 100090. https://doi.org/10.1016/j.pdisas.2020.100090</w:t>
      </w:r>
    </w:p>
    <w:p w14:paraId="718E0F97"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35. </w:t>
      </w:r>
      <w:r w:rsidRPr="002E1225">
        <w:rPr>
          <w:rFonts w:cs="Times New Roman"/>
          <w:noProof/>
          <w:sz w:val="21"/>
        </w:rPr>
        <w:tab/>
        <w:t xml:space="preserve">Chatterjee, R., Bajwa, S., Dwivedi, D., Kanji, R., Ahammed, M., &amp; Shaw, R. (2020). COVID-19 Risk Assessment Tool: Dual application of risk communication and risk governance. </w:t>
      </w:r>
      <w:r w:rsidRPr="002E1225">
        <w:rPr>
          <w:rFonts w:cs="Times New Roman"/>
          <w:i/>
          <w:iCs/>
          <w:noProof/>
          <w:sz w:val="21"/>
        </w:rPr>
        <w:t>Progress in Disaster Science</w:t>
      </w:r>
      <w:r w:rsidRPr="002E1225">
        <w:rPr>
          <w:rFonts w:cs="Times New Roman"/>
          <w:noProof/>
          <w:sz w:val="21"/>
        </w:rPr>
        <w:t xml:space="preserve">, </w:t>
      </w:r>
      <w:r w:rsidRPr="002E1225">
        <w:rPr>
          <w:rFonts w:cs="Times New Roman"/>
          <w:i/>
          <w:iCs/>
          <w:noProof/>
          <w:sz w:val="21"/>
        </w:rPr>
        <w:t>7</w:t>
      </w:r>
      <w:r w:rsidRPr="002E1225">
        <w:rPr>
          <w:rFonts w:cs="Times New Roman"/>
          <w:noProof/>
          <w:sz w:val="21"/>
        </w:rPr>
        <w:t>, 100109. https://doi.org/10.1016/j.pdisas.2020.100109</w:t>
      </w:r>
    </w:p>
    <w:p w14:paraId="71F918B3"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36. </w:t>
      </w:r>
      <w:r w:rsidRPr="002E1225">
        <w:rPr>
          <w:rFonts w:cs="Times New Roman"/>
          <w:noProof/>
          <w:sz w:val="21"/>
        </w:rPr>
        <w:tab/>
        <w:t xml:space="preserve">Farrington, M., &amp; Fal Dutra Santos, R. (2020). </w:t>
      </w:r>
      <w:r w:rsidRPr="002E1225">
        <w:rPr>
          <w:rFonts w:cs="Times New Roman"/>
          <w:i/>
          <w:iCs/>
          <w:noProof/>
          <w:sz w:val="21"/>
        </w:rPr>
        <w:t>Community Engagement During Covid-19: A guide for community facing staff</w:t>
      </w:r>
      <w:r w:rsidRPr="002E1225">
        <w:rPr>
          <w:rFonts w:cs="Times New Roman"/>
          <w:noProof/>
          <w:sz w:val="21"/>
        </w:rPr>
        <w:t>. Retrieved from https://oxfam.box.com/s/nds89hah3bsxoml9blmhd41762qirhak</w:t>
      </w:r>
    </w:p>
    <w:p w14:paraId="7C358D2D"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37. </w:t>
      </w:r>
      <w:r w:rsidRPr="002E1225">
        <w:rPr>
          <w:rFonts w:cs="Times New Roman"/>
          <w:noProof/>
          <w:sz w:val="21"/>
        </w:rPr>
        <w:tab/>
        <w:t xml:space="preserve">Pedi, D., Gillespie, A., Bedson, J., Jalloh, M. F., Jalloh, M. B., Kamara, A., … Conte, L. (2017). The Development of Standard Operating Procedures for Social Mobilization and Community Engagement in Sierra Leone During the West Africa Ebola Outbreak of 2014–2015. </w:t>
      </w:r>
      <w:r w:rsidRPr="002E1225">
        <w:rPr>
          <w:rFonts w:cs="Times New Roman"/>
          <w:i/>
          <w:iCs/>
          <w:noProof/>
          <w:sz w:val="21"/>
        </w:rPr>
        <w:t>Journal of Health Communication</w:t>
      </w:r>
      <w:r w:rsidRPr="002E1225">
        <w:rPr>
          <w:rFonts w:cs="Times New Roman"/>
          <w:noProof/>
          <w:sz w:val="21"/>
        </w:rPr>
        <w:t xml:space="preserve">, </w:t>
      </w:r>
      <w:r w:rsidRPr="002E1225">
        <w:rPr>
          <w:rFonts w:cs="Times New Roman"/>
          <w:i/>
          <w:iCs/>
          <w:noProof/>
          <w:sz w:val="21"/>
        </w:rPr>
        <w:t>22</w:t>
      </w:r>
      <w:r w:rsidRPr="002E1225">
        <w:rPr>
          <w:rFonts w:cs="Times New Roman"/>
          <w:noProof/>
          <w:sz w:val="21"/>
        </w:rPr>
        <w:t>(sup1), 39–50. https://doi.org/10.1080/10810730.2016.1212130</w:t>
      </w:r>
    </w:p>
    <w:p w14:paraId="2D75E4D2"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38. </w:t>
      </w:r>
      <w:r w:rsidRPr="002E1225">
        <w:rPr>
          <w:rFonts w:cs="Times New Roman"/>
          <w:noProof/>
          <w:sz w:val="21"/>
        </w:rPr>
        <w:tab/>
        <w:t xml:space="preserve">Wilkinson, A., Parker, M., Martineau, F., &amp; Leach, M. (2017). Engaging ‘communities’: anthropological insights from the West African Ebola epidemic. </w:t>
      </w:r>
      <w:r w:rsidRPr="002E1225">
        <w:rPr>
          <w:rFonts w:cs="Times New Roman"/>
          <w:i/>
          <w:iCs/>
          <w:noProof/>
          <w:sz w:val="21"/>
        </w:rPr>
        <w:t>Philosophical Transactions of the Royal Society B: Biological Sciences</w:t>
      </w:r>
      <w:r w:rsidRPr="002E1225">
        <w:rPr>
          <w:rFonts w:cs="Times New Roman"/>
          <w:noProof/>
          <w:sz w:val="21"/>
        </w:rPr>
        <w:t xml:space="preserve">, </w:t>
      </w:r>
      <w:r w:rsidRPr="002E1225">
        <w:rPr>
          <w:rFonts w:cs="Times New Roman"/>
          <w:i/>
          <w:iCs/>
          <w:noProof/>
          <w:sz w:val="21"/>
        </w:rPr>
        <w:t>372</w:t>
      </w:r>
      <w:r w:rsidRPr="002E1225">
        <w:rPr>
          <w:rFonts w:cs="Times New Roman"/>
          <w:noProof/>
          <w:sz w:val="21"/>
        </w:rPr>
        <w:t>(1721), 20160305. https://doi.org/10.1098/rstb.2016.0305</w:t>
      </w:r>
    </w:p>
    <w:p w14:paraId="1ED80E4E"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39. </w:t>
      </w:r>
      <w:r w:rsidRPr="002E1225">
        <w:rPr>
          <w:rFonts w:cs="Times New Roman"/>
          <w:noProof/>
          <w:sz w:val="21"/>
        </w:rPr>
        <w:tab/>
        <w:t xml:space="preserve">Pass the message: Five steps to kicking out coronavirus. (2020, March 23). </w:t>
      </w:r>
      <w:r w:rsidRPr="002E1225">
        <w:rPr>
          <w:rFonts w:cs="Times New Roman"/>
          <w:i/>
          <w:iCs/>
          <w:noProof/>
          <w:sz w:val="21"/>
        </w:rPr>
        <w:t>World Health Organization</w:t>
      </w:r>
      <w:r w:rsidRPr="002E1225">
        <w:rPr>
          <w:rFonts w:cs="Times New Roman"/>
          <w:noProof/>
          <w:sz w:val="21"/>
        </w:rPr>
        <w:t>. Retrieved from https://www.who.int/news-room/detail/23-03-2020-pass-the-message-five-steps-to-kicking-out-coronavirus</w:t>
      </w:r>
    </w:p>
    <w:p w14:paraId="61A97AC9"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40. </w:t>
      </w:r>
      <w:r w:rsidRPr="002E1225">
        <w:rPr>
          <w:rFonts w:cs="Times New Roman"/>
          <w:noProof/>
          <w:sz w:val="21"/>
        </w:rPr>
        <w:tab/>
        <w:t xml:space="preserve">Cohen, B., &amp; Menken, J. (2006). </w:t>
      </w:r>
      <w:r w:rsidRPr="002E1225">
        <w:rPr>
          <w:rFonts w:cs="Times New Roman"/>
          <w:i/>
          <w:iCs/>
          <w:noProof/>
          <w:sz w:val="21"/>
        </w:rPr>
        <w:t>Aging in Sub-Saharan Africa: Recommendations for Furthering Research</w:t>
      </w:r>
      <w:r w:rsidRPr="002E1225">
        <w:rPr>
          <w:rFonts w:cs="Times New Roman"/>
          <w:noProof/>
          <w:sz w:val="21"/>
        </w:rPr>
        <w:t>. Washington, DC: National Academies Press (US). Retrieved from https://www.ncbi.nlm.nih.gov/books/NBK20296/</w:t>
      </w:r>
    </w:p>
    <w:p w14:paraId="3DD8508E"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41. </w:t>
      </w:r>
      <w:r w:rsidRPr="002E1225">
        <w:rPr>
          <w:rFonts w:cs="Times New Roman"/>
          <w:noProof/>
          <w:sz w:val="21"/>
        </w:rPr>
        <w:tab/>
        <w:t xml:space="preserve">Van Sjaak Geest, D. E. R. (2002). Respect and reciprocity: Care of elderly people in rural Ghana. </w:t>
      </w:r>
      <w:r w:rsidRPr="002E1225">
        <w:rPr>
          <w:rFonts w:cs="Times New Roman"/>
          <w:i/>
          <w:iCs/>
          <w:noProof/>
          <w:sz w:val="21"/>
        </w:rPr>
        <w:t>Journal of Cross-Cultural Gerontology</w:t>
      </w:r>
      <w:r w:rsidRPr="002E1225">
        <w:rPr>
          <w:rFonts w:cs="Times New Roman"/>
          <w:noProof/>
          <w:sz w:val="21"/>
        </w:rPr>
        <w:t xml:space="preserve">, </w:t>
      </w:r>
      <w:r w:rsidRPr="002E1225">
        <w:rPr>
          <w:rFonts w:cs="Times New Roman"/>
          <w:i/>
          <w:iCs/>
          <w:noProof/>
          <w:sz w:val="21"/>
        </w:rPr>
        <w:t>17</w:t>
      </w:r>
      <w:r w:rsidRPr="002E1225">
        <w:rPr>
          <w:rFonts w:cs="Times New Roman"/>
          <w:noProof/>
          <w:sz w:val="21"/>
        </w:rPr>
        <w:t>(1), 3–31. https://doi.org/10.1023/A:1014843004627</w:t>
      </w:r>
    </w:p>
    <w:p w14:paraId="2E9721C4"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42. </w:t>
      </w:r>
      <w:r w:rsidRPr="002E1225">
        <w:rPr>
          <w:rFonts w:cs="Times New Roman"/>
          <w:noProof/>
          <w:sz w:val="21"/>
        </w:rPr>
        <w:tab/>
        <w:t xml:space="preserve">Van der Roest, H. G., Prins, M., van der Velden, C., Steinmetz, S., Stolte, E., van Tilburg, T. G., &amp; de Vries, D. H. (n.d.). The impact of COVID-19 measures on well-being of older long-term care facility residents in the Netherlands. </w:t>
      </w:r>
      <w:r w:rsidRPr="002E1225">
        <w:rPr>
          <w:rFonts w:cs="Times New Roman"/>
          <w:i/>
          <w:iCs/>
          <w:noProof/>
          <w:sz w:val="21"/>
        </w:rPr>
        <w:t>Journal of the American Geriatrics Association</w:t>
      </w:r>
      <w:r w:rsidRPr="002E1225">
        <w:rPr>
          <w:rFonts w:cs="Times New Roman"/>
          <w:noProof/>
          <w:sz w:val="21"/>
        </w:rPr>
        <w:t>. Retrieved from https://dare.uva.nl/personal/search?identifier=ddc2d984-dec2-474e-be55-76e7070f1b99</w:t>
      </w:r>
    </w:p>
    <w:p w14:paraId="76F72F4C"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43. </w:t>
      </w:r>
      <w:r w:rsidRPr="002E1225">
        <w:rPr>
          <w:rFonts w:cs="Times New Roman"/>
          <w:noProof/>
          <w:sz w:val="21"/>
        </w:rPr>
        <w:tab/>
        <w:t xml:space="preserve">van Tilburg, T. G., Steinmetz, S., Stolte, E., van der Roest, H., &amp; de Vries, D. H. (2020). Loneliness and mental health during the COVID-19 pandemic: A study among Dutch older adults. </w:t>
      </w:r>
      <w:r w:rsidRPr="002E1225">
        <w:rPr>
          <w:rFonts w:cs="Times New Roman"/>
          <w:i/>
          <w:iCs/>
          <w:noProof/>
          <w:sz w:val="21"/>
        </w:rPr>
        <w:t>The Journals of Gerontology: Series B</w:t>
      </w:r>
      <w:r w:rsidRPr="002E1225">
        <w:rPr>
          <w:rFonts w:cs="Times New Roman"/>
          <w:noProof/>
          <w:sz w:val="21"/>
        </w:rPr>
        <w:t>. https://doi.org/10.1093/geronb/gbaa111</w:t>
      </w:r>
    </w:p>
    <w:p w14:paraId="03DE6150"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44. </w:t>
      </w:r>
      <w:r w:rsidRPr="002E1225">
        <w:rPr>
          <w:rFonts w:cs="Times New Roman"/>
          <w:noProof/>
          <w:sz w:val="21"/>
        </w:rPr>
        <w:tab/>
        <w:t xml:space="preserve">Dekker, N. L., Vermeulen, L., &amp; Pols, J. (2020). In and outside the nursing home: On the (im)possibilities of meaningful contact while being held apart. </w:t>
      </w:r>
      <w:r w:rsidRPr="002E1225">
        <w:rPr>
          <w:rFonts w:cs="Times New Roman"/>
          <w:i/>
          <w:iCs/>
          <w:noProof/>
          <w:sz w:val="21"/>
        </w:rPr>
        <w:t>Somatosphere</w:t>
      </w:r>
      <w:r w:rsidRPr="002E1225">
        <w:rPr>
          <w:rFonts w:cs="Times New Roman"/>
          <w:noProof/>
          <w:sz w:val="21"/>
        </w:rPr>
        <w:t>. Retrieved August 27, 2020, from http://somatosphere.net/2020/in-and-outside-the-nursing-home.html/</w:t>
      </w:r>
    </w:p>
    <w:p w14:paraId="0547E05B"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45. </w:t>
      </w:r>
      <w:r w:rsidRPr="002E1225">
        <w:rPr>
          <w:rFonts w:cs="Times New Roman"/>
          <w:noProof/>
          <w:sz w:val="21"/>
        </w:rPr>
        <w:tab/>
        <w:t xml:space="preserve">Pols, A. J., &amp; de Vries, D. H. (Eds.). (2020). </w:t>
      </w:r>
      <w:r w:rsidRPr="002E1225">
        <w:rPr>
          <w:rFonts w:cs="Times New Roman"/>
          <w:i/>
          <w:iCs/>
          <w:noProof/>
          <w:sz w:val="21"/>
        </w:rPr>
        <w:t>Effecten van sociale afstand op kwetsbare groepen in Nederland</w:t>
      </w:r>
      <w:r w:rsidRPr="002E1225">
        <w:rPr>
          <w:rFonts w:cs="Times New Roman"/>
          <w:noProof/>
          <w:sz w:val="21"/>
        </w:rPr>
        <w:t>. University of Amsterdam.</w:t>
      </w:r>
    </w:p>
    <w:p w14:paraId="3176AF91"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46. </w:t>
      </w:r>
      <w:r w:rsidRPr="002E1225">
        <w:rPr>
          <w:rFonts w:cs="Times New Roman"/>
          <w:noProof/>
          <w:sz w:val="21"/>
        </w:rPr>
        <w:tab/>
        <w:t xml:space="preserve">Butler, N., &amp; Tulloch, O. (2020). </w:t>
      </w:r>
      <w:r w:rsidRPr="002E1225">
        <w:rPr>
          <w:rFonts w:cs="Times New Roman"/>
          <w:i/>
          <w:iCs/>
          <w:noProof/>
          <w:sz w:val="21"/>
        </w:rPr>
        <w:t>Considerations and Principles for Shielding People at High Risk of Severe Outcomes from COVID-19</w:t>
      </w:r>
      <w:r w:rsidRPr="002E1225">
        <w:rPr>
          <w:rFonts w:cs="Times New Roman"/>
          <w:noProof/>
          <w:sz w:val="21"/>
        </w:rPr>
        <w:t>. Retrieved from https://www.socialscienceinaction.org/resources/considerations-principles-shielding-people-high-risk-severe-outcomes-covid-19/</w:t>
      </w:r>
    </w:p>
    <w:p w14:paraId="313A2378" w14:textId="77777777" w:rsidR="004A4DA2" w:rsidRPr="002E1225" w:rsidRDefault="004A4DA2" w:rsidP="004A4DA2">
      <w:pPr>
        <w:widowControl w:val="0"/>
        <w:autoSpaceDE w:val="0"/>
        <w:autoSpaceDN w:val="0"/>
        <w:adjustRightInd w:val="0"/>
        <w:spacing w:after="120" w:line="240" w:lineRule="auto"/>
        <w:ind w:left="640" w:hanging="640"/>
        <w:rPr>
          <w:rFonts w:cs="Times New Roman"/>
          <w:noProof/>
          <w:sz w:val="21"/>
        </w:rPr>
      </w:pPr>
      <w:r w:rsidRPr="002E1225">
        <w:rPr>
          <w:rFonts w:cs="Times New Roman"/>
          <w:noProof/>
          <w:sz w:val="21"/>
        </w:rPr>
        <w:t xml:space="preserve">47. </w:t>
      </w:r>
      <w:r w:rsidRPr="002E1225">
        <w:rPr>
          <w:rFonts w:cs="Times New Roman"/>
          <w:noProof/>
          <w:sz w:val="21"/>
        </w:rPr>
        <w:tab/>
        <w:t xml:space="preserve">Cousins, S. (2020). COVID-19 has “devastating” effect on women and girls. </w:t>
      </w:r>
      <w:r w:rsidRPr="002E1225">
        <w:rPr>
          <w:rFonts w:cs="Times New Roman"/>
          <w:i/>
          <w:iCs/>
          <w:noProof/>
          <w:sz w:val="21"/>
        </w:rPr>
        <w:t>The Lancet</w:t>
      </w:r>
      <w:r w:rsidRPr="002E1225">
        <w:rPr>
          <w:rFonts w:cs="Times New Roman"/>
          <w:noProof/>
          <w:sz w:val="21"/>
        </w:rPr>
        <w:t xml:space="preserve">, </w:t>
      </w:r>
      <w:r w:rsidRPr="002E1225">
        <w:rPr>
          <w:rFonts w:cs="Times New Roman"/>
          <w:i/>
          <w:iCs/>
          <w:noProof/>
          <w:sz w:val="21"/>
        </w:rPr>
        <w:t>396</w:t>
      </w:r>
      <w:r w:rsidRPr="002E1225">
        <w:rPr>
          <w:rFonts w:cs="Times New Roman"/>
          <w:noProof/>
          <w:sz w:val="21"/>
        </w:rPr>
        <w:t>(10247), 301–302. https://doi.org/10.1016/S0140-6736(20)31679-2</w:t>
      </w:r>
    </w:p>
    <w:p w14:paraId="1E6F8B9C" w14:textId="77777777" w:rsidR="004A4DA2" w:rsidRPr="002E1225" w:rsidRDefault="004A4DA2" w:rsidP="004A4DA2">
      <w:pPr>
        <w:widowControl w:val="0"/>
        <w:autoSpaceDE w:val="0"/>
        <w:autoSpaceDN w:val="0"/>
        <w:adjustRightInd w:val="0"/>
        <w:spacing w:after="120" w:line="240" w:lineRule="auto"/>
        <w:ind w:left="640" w:hanging="640"/>
        <w:rPr>
          <w:noProof/>
          <w:sz w:val="21"/>
        </w:rPr>
      </w:pPr>
      <w:r w:rsidRPr="002E1225">
        <w:rPr>
          <w:rFonts w:cs="Times New Roman"/>
          <w:noProof/>
          <w:sz w:val="21"/>
        </w:rPr>
        <w:t xml:space="preserve">48. </w:t>
      </w:r>
      <w:r w:rsidRPr="002E1225">
        <w:rPr>
          <w:rFonts w:cs="Times New Roman"/>
          <w:noProof/>
          <w:sz w:val="21"/>
        </w:rPr>
        <w:tab/>
        <w:t xml:space="preserve">Pandit, A. (2020, June 15). Abuse has increased during lockdown, say 71% of elderly. </w:t>
      </w:r>
      <w:r w:rsidRPr="002E1225">
        <w:rPr>
          <w:rFonts w:cs="Times New Roman"/>
          <w:i/>
          <w:iCs/>
          <w:noProof/>
          <w:sz w:val="21"/>
        </w:rPr>
        <w:t>Times of India</w:t>
      </w:r>
      <w:r w:rsidRPr="002E1225">
        <w:rPr>
          <w:rFonts w:cs="Times New Roman"/>
          <w:noProof/>
          <w:sz w:val="21"/>
        </w:rPr>
        <w:t>. Retrieved from https://timesofindia.indiatimes.com/india/abuse-has-increased-during-lockdown-say-71-of-elderly/articleshow/76377324.cms</w:t>
      </w:r>
    </w:p>
    <w:p w14:paraId="0A69AD29" w14:textId="7089D13A" w:rsidR="00D03512" w:rsidRPr="002E1225" w:rsidRDefault="005606E7" w:rsidP="004A4DA2">
      <w:pPr>
        <w:widowControl w:val="0"/>
        <w:autoSpaceDE w:val="0"/>
        <w:autoSpaceDN w:val="0"/>
        <w:adjustRightInd w:val="0"/>
        <w:spacing w:after="120" w:line="240" w:lineRule="auto"/>
        <w:ind w:left="640" w:hanging="640"/>
        <w:rPr>
          <w:sz w:val="22"/>
        </w:rPr>
      </w:pPr>
      <w:r w:rsidRPr="002E1225">
        <w:rPr>
          <w:sz w:val="21"/>
        </w:rPr>
        <w:fldChar w:fldCharType="end"/>
      </w:r>
    </w:p>
    <w:sectPr w:rsidR="00D03512" w:rsidRPr="002E1225" w:rsidSect="00647756">
      <w:endnotePr>
        <w:numFmt w:val="decimal"/>
      </w:endnotePr>
      <w:pgSz w:w="11901" w:h="16817"/>
      <w:pgMar w:top="1113" w:right="567" w:bottom="1365" w:left="567" w:header="567" w:footer="45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4EDA93D" w14:textId="77777777" w:rsidR="00F13AF5" w:rsidRDefault="00F13AF5" w:rsidP="0061544C">
      <w:r>
        <w:separator/>
      </w:r>
    </w:p>
  </w:endnote>
  <w:endnote w:type="continuationSeparator" w:id="0">
    <w:p w14:paraId="2E203693" w14:textId="77777777" w:rsidR="00F13AF5" w:rsidRDefault="00F13AF5" w:rsidP="0061544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Calibri"/>
    <w:charset w:val="00"/>
    <w:family w:val="auto"/>
    <w:pitch w:val="default"/>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embedRegular r:id="rId1" w:fontKey="{6DA5FF73-8F32-4F4F-8BA8-F6F122373DA4}"/>
  </w:font>
  <w:font w:name="Courier New">
    <w:panose1 w:val="02070309020205020404"/>
    <w:charset w:val="00"/>
    <w:family w:val="modern"/>
    <w:pitch w:val="fixed"/>
    <w:sig w:usb0="E0002EFF" w:usb1="C0007843" w:usb2="00000009" w:usb3="00000000" w:csb0="000001FF" w:csb1="00000000"/>
  </w:font>
  <w:font w:name="Montserrat SemiBold">
    <w:charset w:val="4D"/>
    <w:family w:val="auto"/>
    <w:pitch w:val="variable"/>
    <w:sig w:usb0="2000020F" w:usb1="00000003" w:usb2="00000000" w:usb3="00000000" w:csb0="00000197" w:csb1="00000000"/>
    <w:embedRegular r:id="rId2" w:fontKey="{51CD91C2-5CB8-4791-B0A8-FDF71D3E4432}"/>
  </w:font>
  <w:font w:name="Montserrat Light">
    <w:charset w:val="4D"/>
    <w:family w:val="auto"/>
    <w:pitch w:val="variable"/>
    <w:sig w:usb0="2000020F" w:usb1="00000003" w:usb2="00000000" w:usb3="00000000" w:csb0="00000197" w:csb1="00000000"/>
    <w:embedRegular r:id="rId3" w:fontKey="{B1E670C1-904E-4B31-B879-01E5FD959998}"/>
    <w:embedBold r:id="rId4" w:fontKey="{5E53DC5A-4DEA-4E65-BE96-81D1B6126E6B}"/>
    <w:embedItalic r:id="rId5" w:fontKey="{EBA7F01E-C21D-4113-BB0C-EB8D48B3DD32}"/>
  </w:font>
  <w:font w:name="Calibri">
    <w:panose1 w:val="020F0502020204030204"/>
    <w:charset w:val="00"/>
    <w:family w:val="swiss"/>
    <w:pitch w:val="variable"/>
    <w:sig w:usb0="E4002EFF" w:usb1="C000247B" w:usb2="00000009" w:usb3="00000000" w:csb0="000001FF" w:csb1="00000000"/>
    <w:embedRegular r:id="rId6" w:fontKey="{7459FEDC-AD9C-4FC7-B52E-26136E740628}"/>
    <w:embedBold r:id="rId7" w:fontKey="{E66FE08C-E61D-4F5E-A2AD-6F3605C29302}"/>
    <w:embedItalic r:id="rId8" w:fontKey="{18A27F90-B26B-48CA-9DF1-1155E7178CC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embedRegular r:id="rId9" w:fontKey="{289047AB-5ECA-47B7-90CE-199085770599}"/>
    <w:embedBold r:id="rId10" w:fontKey="{BE5FBE54-B6EE-4071-ADC8-AF122D19E23B}"/>
  </w:font>
  <w:font w:name="Yu Gothic Light">
    <w:panose1 w:val="020B0300000000000000"/>
    <w:charset w:val="80"/>
    <w:family w:val="swiss"/>
    <w:pitch w:val="variable"/>
    <w:sig w:usb0="E00002FF" w:usb1="2AC7FDFF" w:usb2="00000016" w:usb3="00000000" w:csb0="0002009F" w:csb1="00000000"/>
  </w:font>
  <w:font w:name="Montserrat">
    <w:charset w:val="4D"/>
    <w:family w:val="auto"/>
    <w:pitch w:val="variable"/>
    <w:sig w:usb0="2000020F" w:usb1="00000003" w:usb2="00000000" w:usb3="00000000" w:csb0="00000197" w:csb1="00000000"/>
    <w:embedRegular r:id="rId11" w:fontKey="{AB8F61D8-D7A5-43C5-87B6-6544AB54BCBB}"/>
    <w:embedBold r:id="rId12" w:fontKey="{6B368F56-FC1D-4C2D-8592-78B1F039829D}"/>
  </w:font>
  <w:font w:name="Montserrat Semi">
    <w:altName w:val="Calibri"/>
    <w:charset w:val="4D"/>
    <w:family w:val="auto"/>
    <w:pitch w:val="variable"/>
    <w:sig w:usb0="2000020F" w:usb1="00000003" w:usb2="00000000" w:usb3="00000000" w:csb0="00000197" w:csb1="00000000"/>
  </w:font>
  <w:font w:name="Times New Roman (Headings CS)">
    <w:altName w:val="Times New Roman"/>
    <w:charset w:val="00"/>
    <w:family w:val="roman"/>
    <w:pitch w:val="variable"/>
    <w:sig w:usb0="E0002AEF" w:usb1="C0007841" w:usb2="00000009" w:usb3="00000000" w:csb0="000001FF" w:csb1="00000000"/>
  </w:font>
  <w:font w:name="Montserrat Medium">
    <w:charset w:val="4D"/>
    <w:family w:val="auto"/>
    <w:pitch w:val="variable"/>
    <w:sig w:usb0="2000020F" w:usb1="00000003" w:usb2="00000000" w:usb3="00000000" w:csb0="00000197" w:csb1="00000000"/>
    <w:embedRegular r:id="rId13" w:fontKey="{940AFDB4-7B95-4CDD-A0DE-8B00EAF7CDA7}"/>
  </w:font>
  <w:font w:name="SimSun">
    <w:altName w:val="宋体"/>
    <w:panose1 w:val="02010600030101010101"/>
    <w:charset w:val="86"/>
    <w:family w:val="auto"/>
    <w:pitch w:val="variable"/>
    <w:sig w:usb0="00000003" w:usb1="288F0000" w:usb2="00000016" w:usb3="00000000" w:csb0="00040001" w:csb1="00000000"/>
  </w:font>
  <w:font w:name="Code">
    <w:altName w:val="Arial"/>
    <w:panose1 w:val="00000000000000000000"/>
    <w:charset w:val="4D"/>
    <w:family w:val="auto"/>
    <w:notTrueType/>
    <w:pitch w:val="variable"/>
    <w:sig w:usb0="800000AF" w:usb1="5000204A" w:usb2="00000000" w:usb3="00000000" w:csb0="00000001" w:csb1="00000000"/>
  </w:font>
  <w:font w:name="Yu Mincho">
    <w:panose1 w:val="02020400000000000000"/>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E5C21C" w14:textId="765049B5" w:rsidR="00E1566C" w:rsidRPr="00E03026" w:rsidRDefault="00E1566C" w:rsidP="0041256F">
    <w:pPr>
      <w:pStyle w:val="Footer"/>
      <w:rPr>
        <w:rStyle w:val="PageNumber"/>
        <w:rFonts w:ascii="Montserrat" w:hAnsi="Montserrat"/>
        <w:b/>
        <w:bCs/>
        <w:caps/>
        <w:color w:val="FFFFFF" w:themeColor="background1"/>
        <w:sz w:val="16"/>
        <w:szCs w:val="16"/>
      </w:rPr>
    </w:pPr>
    <w:r>
      <w:rPr>
        <w:rFonts w:ascii="Montserrat" w:hAnsi="Montserrat"/>
        <w:b/>
        <w:bCs/>
        <w:caps/>
        <w:noProof/>
        <w:color w:val="52E5BA"/>
        <w:sz w:val="16"/>
        <w:szCs w:val="16"/>
      </w:rPr>
      <mc:AlternateContent>
        <mc:Choice Requires="wps">
          <w:drawing>
            <wp:anchor distT="0" distB="0" distL="114300" distR="114300" simplePos="0" relativeHeight="251667456" behindDoc="0" locked="0" layoutInCell="1" allowOverlap="1" wp14:anchorId="05338BF3" wp14:editId="258C92B7">
              <wp:simplePos x="0" y="0"/>
              <wp:positionH relativeFrom="column">
                <wp:posOffset>5812155</wp:posOffset>
              </wp:positionH>
              <wp:positionV relativeFrom="paragraph">
                <wp:posOffset>8255</wp:posOffset>
              </wp:positionV>
              <wp:extent cx="1016000" cy="330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016000" cy="330200"/>
                      </a:xfrm>
                      <a:prstGeom prst="rect">
                        <a:avLst/>
                      </a:prstGeom>
                      <a:noFill/>
                      <a:ln w="6350">
                        <a:noFill/>
                      </a:ln>
                    </wps:spPr>
                    <wps:txbx>
                      <w:txbxContent>
                        <w:p w14:paraId="7B215BAD" w14:textId="77777777" w:rsidR="00E1566C" w:rsidRPr="0093203A" w:rsidRDefault="00E1566C" w:rsidP="0093203A">
                          <w:pPr>
                            <w:ind w:left="0"/>
                            <w:jc w:val="right"/>
                            <w:rPr>
                              <w:rFonts w:ascii="Montserrat" w:hAnsi="Montserrat"/>
                              <w:b/>
                              <w:bCs/>
                              <w:color w:val="AEAAAA" w:themeColor="background2" w:themeShade="BF"/>
                              <w:sz w:val="16"/>
                              <w:szCs w:val="16"/>
                            </w:rPr>
                          </w:pPr>
                          <w:r w:rsidRPr="0093203A">
                            <w:rPr>
                              <w:rFonts w:ascii="Montserrat" w:hAnsi="Montserrat" w:cs="Times New Roman"/>
                              <w:b/>
                              <w:bCs/>
                              <w:color w:val="AEAAAA" w:themeColor="background2" w:themeShade="BF"/>
                              <w:sz w:val="16"/>
                              <w:szCs w:val="16"/>
                            </w:rPr>
                            <w:fldChar w:fldCharType="begin"/>
                          </w:r>
                          <w:r w:rsidRPr="0093203A">
                            <w:rPr>
                              <w:rFonts w:ascii="Montserrat" w:hAnsi="Montserrat" w:cs="Times New Roman"/>
                              <w:b/>
                              <w:bCs/>
                              <w:color w:val="AEAAAA" w:themeColor="background2" w:themeShade="BF"/>
                              <w:sz w:val="16"/>
                              <w:szCs w:val="16"/>
                            </w:rPr>
                            <w:instrText xml:space="preserve"> PAGE </w:instrText>
                          </w:r>
                          <w:r w:rsidRPr="0093203A">
                            <w:rPr>
                              <w:rFonts w:ascii="Montserrat" w:hAnsi="Montserrat" w:cs="Times New Roman"/>
                              <w:b/>
                              <w:bCs/>
                              <w:color w:val="AEAAAA" w:themeColor="background2" w:themeShade="BF"/>
                              <w:sz w:val="16"/>
                              <w:szCs w:val="16"/>
                            </w:rPr>
                            <w:fldChar w:fldCharType="separate"/>
                          </w:r>
                          <w:r w:rsidRPr="0093203A">
                            <w:rPr>
                              <w:rFonts w:ascii="Montserrat" w:hAnsi="Montserrat" w:cs="Times New Roman"/>
                              <w:b/>
                              <w:bCs/>
                              <w:noProof/>
                              <w:color w:val="AEAAAA" w:themeColor="background2" w:themeShade="BF"/>
                              <w:sz w:val="16"/>
                              <w:szCs w:val="16"/>
                            </w:rPr>
                            <w:t>2</w:t>
                          </w:r>
                          <w:r w:rsidRPr="0093203A">
                            <w:rPr>
                              <w:rFonts w:ascii="Montserrat" w:hAnsi="Montserrat" w:cs="Times New Roman"/>
                              <w:b/>
                              <w:bCs/>
                              <w:color w:val="AEAAAA" w:themeColor="background2" w:themeShade="BF"/>
                              <w:sz w:val="16"/>
                              <w:szCs w:val="16"/>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5338BF3" id="_x0000_t202" coordsize="21600,21600" o:spt="202" path="m,l,21600r21600,l21600,xe">
              <v:stroke joinstyle="miter"/>
              <v:path gradientshapeok="t" o:connecttype="rect"/>
            </v:shapetype>
            <v:shape id="Text Box 3" o:spid="_x0000_s1027" type="#_x0000_t202" style="position:absolute;left:0;text-align:left;margin-left:457.65pt;margin-top:.65pt;width:80pt;height:26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" filled="f" stroked="f" strokeweight=".5pt">
              <v:textbox inset="0,0,0,0">
                <w:txbxContent>
                  <w:p w14:paraId="7B215BAD" w14:textId="77777777" w:rsidR="00E1566C" w:rsidRPr="0093203A" w:rsidRDefault="00E1566C" w:rsidP="0093203A">
                    <w:pPr>
                      <w:ind w:left="0"/>
                      <w:jc w:val="right"/>
                      <w:rPr>
                        <w:rFonts w:ascii="Montserrat" w:hAnsi="Montserrat"/>
                        <w:b/>
                        <w:bCs/>
                        <w:color w:val="AEAAAA" w:themeColor="background2" w:themeShade="BF"/>
                        <w:sz w:val="16"/>
                        <w:szCs w:val="16"/>
                      </w:rPr>
                    </w:pPr>
                    <w:r w:rsidRPr="0093203A">
                      <w:rPr>
                        <w:rFonts w:ascii="Montserrat" w:hAnsi="Montserrat" w:cs="Times New Roman"/>
                        <w:b/>
                        <w:bCs/>
                        <w:color w:val="AEAAAA" w:themeColor="background2" w:themeShade="BF"/>
                        <w:sz w:val="16"/>
                        <w:szCs w:val="16"/>
                      </w:rPr>
                      <w:fldChar w:fldCharType="begin"/>
                    </w:r>
                    <w:r w:rsidRPr="0093203A">
                      <w:rPr>
                        <w:rFonts w:ascii="Montserrat" w:hAnsi="Montserrat" w:cs="Times New Roman"/>
                        <w:b/>
                        <w:bCs/>
                        <w:color w:val="AEAAAA" w:themeColor="background2" w:themeShade="BF"/>
                        <w:sz w:val="16"/>
                        <w:szCs w:val="16"/>
                      </w:rPr>
                      <w:instrText xml:space="preserve"> PAGE </w:instrText>
                    </w:r>
                    <w:r w:rsidRPr="0093203A">
                      <w:rPr>
                        <w:rFonts w:ascii="Montserrat" w:hAnsi="Montserrat" w:cs="Times New Roman"/>
                        <w:b/>
                        <w:bCs/>
                        <w:color w:val="AEAAAA" w:themeColor="background2" w:themeShade="BF"/>
                        <w:sz w:val="16"/>
                        <w:szCs w:val="16"/>
                      </w:rPr>
                      <w:fldChar w:fldCharType="separate"/>
                    </w:r>
                    <w:r w:rsidRPr="0093203A">
                      <w:rPr>
                        <w:rFonts w:ascii="Montserrat" w:hAnsi="Montserrat" w:cs="Times New Roman"/>
                        <w:b/>
                        <w:bCs/>
                        <w:noProof/>
                        <w:color w:val="AEAAAA" w:themeColor="background2" w:themeShade="BF"/>
                        <w:sz w:val="16"/>
                        <w:szCs w:val="16"/>
                      </w:rPr>
                      <w:t>2</w:t>
                    </w:r>
                    <w:r w:rsidRPr="0093203A">
                      <w:rPr>
                        <w:rFonts w:ascii="Montserrat" w:hAnsi="Montserrat" w:cs="Times New Roman"/>
                        <w:b/>
                        <w:bCs/>
                        <w:color w:val="AEAAAA" w:themeColor="background2" w:themeShade="BF"/>
                        <w:sz w:val="16"/>
                        <w:szCs w:val="16"/>
                      </w:rPr>
                      <w:fldChar w:fldCharType="end"/>
                    </w:r>
                  </w:p>
                </w:txbxContent>
              </v:textbox>
            </v:shape>
          </w:pict>
        </mc:Fallback>
      </mc:AlternateContent>
    </w:r>
    <w:r w:rsidRPr="00E03026">
      <w:rPr>
        <w:rStyle w:val="PageNumber"/>
        <w:rFonts w:ascii="Montserrat" w:hAnsi="Montserrat"/>
        <w:b/>
        <w:bCs/>
        <w:caps/>
        <w:color w:val="52E5BA"/>
        <w:sz w:val="16"/>
        <w:szCs w:val="16"/>
      </w:rPr>
      <w:t>Key considerations:</w:t>
    </w:r>
    <w:r w:rsidRPr="00E03026">
      <w:rPr>
        <w:rStyle w:val="PageNumber"/>
        <w:rFonts w:ascii="Montserrat" w:hAnsi="Montserrat"/>
        <w:b/>
        <w:bCs/>
        <w:caps/>
        <w:color w:val="FFFFFF" w:themeColor="background1"/>
        <w:sz w:val="16"/>
        <w:szCs w:val="16"/>
      </w:rPr>
      <w:t xml:space="preserve"> </w:t>
    </w:r>
    <w:r>
      <w:rPr>
        <w:rStyle w:val="PageNumber"/>
        <w:rFonts w:ascii="Montserrat" w:hAnsi="Montserrat"/>
        <w:b/>
        <w:bCs/>
        <w:caps/>
        <w:color w:val="FFFFFF" w:themeColor="background1"/>
        <w:sz w:val="16"/>
        <w:szCs w:val="16"/>
      </w:rPr>
      <w:t>EMERGING EVIDENCE ON SHIELDING VULNERABLE GROUPS DURING COVID-19</w:t>
    </w:r>
  </w:p>
  <w:p w14:paraId="31D9E814" w14:textId="7D5467A9" w:rsidR="00E1566C" w:rsidRPr="005F3853" w:rsidRDefault="00E1566C" w:rsidP="0041256F">
    <w:pPr>
      <w:pStyle w:val="Footer"/>
    </w:pPr>
    <w:r w:rsidRPr="006E3771">
      <w:rPr>
        <w:color w:val="FFFFFF" w:themeColor="background1"/>
        <w:sz w:val="13"/>
        <w:szCs w:val="13"/>
      </w:rPr>
      <w:t xml:space="preserve">Lead author: </w:t>
    </w:r>
    <w:r>
      <w:rPr>
        <w:color w:val="FFFFFF" w:themeColor="background1"/>
        <w:sz w:val="13"/>
        <w:szCs w:val="13"/>
      </w:rPr>
      <w:t xml:space="preserve">Megan Schmidt-Sane, </w:t>
    </w:r>
    <w:r w:rsidRPr="0041256F">
      <w:rPr>
        <w:color w:val="FFFFFF" w:themeColor="background1"/>
        <w:sz w:val="13"/>
        <w:szCs w:val="13"/>
        <w:u w:val="single"/>
      </w:rPr>
      <w:t>m.schmidt-sane@ids.ac.uk</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BCCF377" w14:textId="027B58B7" w:rsidR="00E1566C" w:rsidRPr="00E03026" w:rsidRDefault="00E1566C" w:rsidP="00DE5F31">
    <w:pPr>
      <w:pStyle w:val="Footer"/>
      <w:rPr>
        <w:rStyle w:val="PageNumber"/>
        <w:rFonts w:ascii="Montserrat" w:hAnsi="Montserrat"/>
        <w:b/>
        <w:bCs/>
        <w:caps/>
        <w:color w:val="FFFFFF" w:themeColor="background1"/>
        <w:sz w:val="16"/>
        <w:szCs w:val="16"/>
      </w:rPr>
    </w:pPr>
    <w:r w:rsidRPr="00E03026">
      <w:rPr>
        <w:rStyle w:val="PageNumber"/>
        <w:rFonts w:ascii="Montserrat" w:hAnsi="Montserrat"/>
        <w:b/>
        <w:bCs/>
        <w:caps/>
        <w:color w:val="52E5BA"/>
        <w:sz w:val="16"/>
        <w:szCs w:val="16"/>
      </w:rPr>
      <w:t>Key considerations:</w:t>
    </w:r>
    <w:r w:rsidRPr="00E03026">
      <w:rPr>
        <w:rStyle w:val="PageNumber"/>
        <w:rFonts w:ascii="Montserrat" w:hAnsi="Montserrat"/>
        <w:b/>
        <w:bCs/>
        <w:caps/>
        <w:color w:val="FFFFFF" w:themeColor="background1"/>
        <w:sz w:val="16"/>
        <w:szCs w:val="16"/>
      </w:rPr>
      <w:t xml:space="preserve"> </w:t>
    </w:r>
    <w:r>
      <w:rPr>
        <w:rStyle w:val="PageNumber"/>
        <w:rFonts w:ascii="Montserrat" w:hAnsi="Montserrat"/>
        <w:b/>
        <w:bCs/>
        <w:caps/>
        <w:color w:val="FFFFFF" w:themeColor="background1"/>
        <w:sz w:val="16"/>
        <w:szCs w:val="16"/>
      </w:rPr>
      <w:t>EMERGING EVIDENCE ON SHIELDING VULNERABLE GROUPS DURING COVID-19</w:t>
    </w:r>
  </w:p>
  <w:p w14:paraId="00A51A90" w14:textId="77777777" w:rsidR="00E1566C" w:rsidRDefault="00E1566C" w:rsidP="00DE5F31">
    <w:pPr>
      <w:pStyle w:val="Footer"/>
    </w:pPr>
    <w:r w:rsidRPr="006E3771">
      <w:rPr>
        <w:color w:val="FFFFFF" w:themeColor="background1"/>
        <w:sz w:val="13"/>
        <w:szCs w:val="13"/>
      </w:rPr>
      <w:t xml:space="preserve">Lead author: </w:t>
    </w:r>
    <w:r>
      <w:rPr>
        <w:color w:val="FFFFFF" w:themeColor="background1"/>
        <w:sz w:val="13"/>
        <w:szCs w:val="13"/>
      </w:rPr>
      <w:t xml:space="preserve">Megan Schmidt-Sane, </w:t>
    </w:r>
    <w:r w:rsidRPr="0041256F">
      <w:rPr>
        <w:color w:val="FFFFFF" w:themeColor="background1"/>
        <w:sz w:val="13"/>
        <w:szCs w:val="13"/>
        <w:u w:val="single"/>
      </w:rPr>
      <w:t>m.schmidt-sane@ids.ac.uk</w:t>
    </w:r>
    <w:r>
      <w:rPr>
        <w:color w:val="FFFFFF" w:themeColor="background1"/>
        <w:sz w:val="13"/>
        <w:szCs w:val="13"/>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BF4F812" w14:textId="77777777" w:rsidR="00F13AF5" w:rsidRDefault="00F13AF5" w:rsidP="0061544C">
      <w:r>
        <w:separator/>
      </w:r>
    </w:p>
  </w:footnote>
  <w:footnote w:type="continuationSeparator" w:id="0">
    <w:p w14:paraId="124BCDB1" w14:textId="77777777" w:rsidR="00F13AF5" w:rsidRDefault="00F13AF5" w:rsidP="0061544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C"/>
    <w:multiLevelType w:val="singleLevel"/>
    <w:tmpl w:val="15247C8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AB458B2"/>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0954386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48044BE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72164E6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1CCE642"/>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034B05C"/>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E82295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568C9CE"/>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D62436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0000002"/>
    <w:multiLevelType w:val="multilevel"/>
    <w:tmpl w:val="00000002"/>
    <w:name w:val="WWNum5"/>
    <w:lvl w:ilvl="0">
      <w:start w:val="1"/>
      <w:numFmt w:val="bullet"/>
      <w:lvlText w:val="-"/>
      <w:lvlJc w:val="left"/>
      <w:pPr>
        <w:tabs>
          <w:tab w:val="num" w:pos="0"/>
        </w:tabs>
        <w:ind w:left="360" w:hanging="360"/>
      </w:pPr>
      <w:rPr>
        <w:rFonts w:ascii="OpenSymbol" w:hAnsi="OpenSymbol"/>
        <w:u w:val="none"/>
      </w:rPr>
    </w:lvl>
    <w:lvl w:ilvl="1">
      <w:start w:val="1"/>
      <w:numFmt w:val="bullet"/>
      <w:lvlText w:val="-"/>
      <w:lvlJc w:val="left"/>
      <w:pPr>
        <w:tabs>
          <w:tab w:val="num" w:pos="0"/>
        </w:tabs>
        <w:ind w:left="1080" w:hanging="360"/>
      </w:pPr>
      <w:rPr>
        <w:rFonts w:ascii="OpenSymbol" w:hAnsi="OpenSymbol"/>
        <w:u w:val="none"/>
      </w:rPr>
    </w:lvl>
    <w:lvl w:ilvl="2">
      <w:start w:val="1"/>
      <w:numFmt w:val="bullet"/>
      <w:lvlText w:val="-"/>
      <w:lvlJc w:val="left"/>
      <w:pPr>
        <w:tabs>
          <w:tab w:val="num" w:pos="0"/>
        </w:tabs>
        <w:ind w:left="1800" w:hanging="360"/>
      </w:pPr>
      <w:rPr>
        <w:rFonts w:ascii="OpenSymbol" w:hAnsi="OpenSymbol"/>
        <w:u w:val="none"/>
      </w:rPr>
    </w:lvl>
    <w:lvl w:ilvl="3">
      <w:start w:val="1"/>
      <w:numFmt w:val="bullet"/>
      <w:lvlText w:val="-"/>
      <w:lvlJc w:val="left"/>
      <w:pPr>
        <w:tabs>
          <w:tab w:val="num" w:pos="0"/>
        </w:tabs>
        <w:ind w:left="2520" w:hanging="360"/>
      </w:pPr>
      <w:rPr>
        <w:rFonts w:ascii="OpenSymbol" w:hAnsi="OpenSymbol"/>
        <w:u w:val="none"/>
      </w:rPr>
    </w:lvl>
    <w:lvl w:ilvl="4">
      <w:start w:val="1"/>
      <w:numFmt w:val="bullet"/>
      <w:lvlText w:val="-"/>
      <w:lvlJc w:val="left"/>
      <w:pPr>
        <w:tabs>
          <w:tab w:val="num" w:pos="0"/>
        </w:tabs>
        <w:ind w:left="3240" w:hanging="360"/>
      </w:pPr>
      <w:rPr>
        <w:rFonts w:ascii="OpenSymbol" w:hAnsi="OpenSymbol"/>
        <w:u w:val="none"/>
      </w:rPr>
    </w:lvl>
    <w:lvl w:ilvl="5">
      <w:start w:val="1"/>
      <w:numFmt w:val="bullet"/>
      <w:lvlText w:val="-"/>
      <w:lvlJc w:val="left"/>
      <w:pPr>
        <w:tabs>
          <w:tab w:val="num" w:pos="0"/>
        </w:tabs>
        <w:ind w:left="3960" w:hanging="360"/>
      </w:pPr>
      <w:rPr>
        <w:rFonts w:ascii="OpenSymbol" w:hAnsi="OpenSymbol"/>
        <w:u w:val="none"/>
      </w:rPr>
    </w:lvl>
    <w:lvl w:ilvl="6">
      <w:start w:val="1"/>
      <w:numFmt w:val="bullet"/>
      <w:lvlText w:val="-"/>
      <w:lvlJc w:val="left"/>
      <w:pPr>
        <w:tabs>
          <w:tab w:val="num" w:pos="0"/>
        </w:tabs>
        <w:ind w:left="4680" w:hanging="360"/>
      </w:pPr>
      <w:rPr>
        <w:rFonts w:ascii="OpenSymbol" w:hAnsi="OpenSymbol"/>
        <w:u w:val="none"/>
      </w:rPr>
    </w:lvl>
    <w:lvl w:ilvl="7">
      <w:start w:val="1"/>
      <w:numFmt w:val="bullet"/>
      <w:lvlText w:val="-"/>
      <w:lvlJc w:val="left"/>
      <w:pPr>
        <w:tabs>
          <w:tab w:val="num" w:pos="0"/>
        </w:tabs>
        <w:ind w:left="5400" w:hanging="360"/>
      </w:pPr>
      <w:rPr>
        <w:rFonts w:ascii="OpenSymbol" w:hAnsi="OpenSymbol"/>
        <w:u w:val="none"/>
      </w:rPr>
    </w:lvl>
    <w:lvl w:ilvl="8">
      <w:start w:val="1"/>
      <w:numFmt w:val="bullet"/>
      <w:lvlText w:val="-"/>
      <w:lvlJc w:val="left"/>
      <w:pPr>
        <w:tabs>
          <w:tab w:val="num" w:pos="0"/>
        </w:tabs>
        <w:ind w:left="6120" w:hanging="360"/>
      </w:pPr>
      <w:rPr>
        <w:rFonts w:ascii="OpenSymbol" w:hAnsi="OpenSymbol"/>
        <w:u w:val="none"/>
      </w:rPr>
    </w:lvl>
  </w:abstractNum>
  <w:abstractNum w:abstractNumId="11" w15:restartNumberingAfterBreak="0">
    <w:nsid w:val="00000006"/>
    <w:multiLevelType w:val="multilevel"/>
    <w:tmpl w:val="00000006"/>
    <w:name w:val="WWNum8"/>
    <w:lvl w:ilvl="0">
      <w:start w:val="1"/>
      <w:numFmt w:val="bullet"/>
      <w:lvlText w:val=""/>
      <w:lvlJc w:val="left"/>
      <w:pPr>
        <w:tabs>
          <w:tab w:val="num" w:pos="0"/>
        </w:tabs>
        <w:ind w:left="720" w:hanging="360"/>
      </w:pPr>
      <w:rPr>
        <w:rFonts w:ascii="Wingdings" w:hAnsi="Wingdings"/>
        <w:u w:val="none"/>
      </w:rPr>
    </w:lvl>
    <w:lvl w:ilvl="1">
      <w:start w:val="1"/>
      <w:numFmt w:val="bullet"/>
      <w:lvlText w:val=""/>
      <w:lvlJc w:val="left"/>
      <w:pPr>
        <w:tabs>
          <w:tab w:val="num" w:pos="0"/>
        </w:tabs>
        <w:ind w:left="1440" w:hanging="360"/>
      </w:pPr>
      <w:rPr>
        <w:rFonts w:ascii="Wingdings 2" w:hAnsi="Wingdings 2"/>
        <w:u w:val="none"/>
      </w:rPr>
    </w:lvl>
    <w:lvl w:ilvl="2">
      <w:start w:val="1"/>
      <w:numFmt w:val="bullet"/>
      <w:lvlText w:val="■"/>
      <w:lvlJc w:val="left"/>
      <w:pPr>
        <w:tabs>
          <w:tab w:val="num" w:pos="0"/>
        </w:tabs>
        <w:ind w:left="2160" w:hanging="360"/>
      </w:pPr>
      <w:rPr>
        <w:rFonts w:ascii="OpenSymbol" w:hAnsi="OpenSymbol"/>
        <w:u w:val="none"/>
      </w:rPr>
    </w:lvl>
    <w:lvl w:ilvl="3">
      <w:start w:val="1"/>
      <w:numFmt w:val="bullet"/>
      <w:lvlText w:val=""/>
      <w:lvlJc w:val="left"/>
      <w:pPr>
        <w:tabs>
          <w:tab w:val="num" w:pos="0"/>
        </w:tabs>
        <w:ind w:left="2880" w:hanging="360"/>
      </w:pPr>
      <w:rPr>
        <w:rFonts w:ascii="Wingdings" w:hAnsi="Wingdings"/>
        <w:u w:val="none"/>
      </w:rPr>
    </w:lvl>
    <w:lvl w:ilvl="4">
      <w:start w:val="1"/>
      <w:numFmt w:val="bullet"/>
      <w:lvlText w:val=""/>
      <w:lvlJc w:val="left"/>
      <w:pPr>
        <w:tabs>
          <w:tab w:val="num" w:pos="0"/>
        </w:tabs>
        <w:ind w:left="3600" w:hanging="360"/>
      </w:pPr>
      <w:rPr>
        <w:rFonts w:ascii="Wingdings 2" w:hAnsi="Wingdings 2"/>
        <w:u w:val="none"/>
      </w:rPr>
    </w:lvl>
    <w:lvl w:ilvl="5">
      <w:start w:val="1"/>
      <w:numFmt w:val="bullet"/>
      <w:lvlText w:val="■"/>
      <w:lvlJc w:val="left"/>
      <w:pPr>
        <w:tabs>
          <w:tab w:val="num" w:pos="0"/>
        </w:tabs>
        <w:ind w:left="4320" w:hanging="360"/>
      </w:pPr>
      <w:rPr>
        <w:rFonts w:ascii="OpenSymbol" w:hAnsi="OpenSymbol"/>
        <w:u w:val="none"/>
      </w:rPr>
    </w:lvl>
    <w:lvl w:ilvl="6">
      <w:start w:val="1"/>
      <w:numFmt w:val="bullet"/>
      <w:lvlText w:val=""/>
      <w:lvlJc w:val="left"/>
      <w:pPr>
        <w:tabs>
          <w:tab w:val="num" w:pos="0"/>
        </w:tabs>
        <w:ind w:left="5040" w:hanging="360"/>
      </w:pPr>
      <w:rPr>
        <w:rFonts w:ascii="Wingdings" w:hAnsi="Wingdings"/>
        <w:u w:val="none"/>
      </w:rPr>
    </w:lvl>
    <w:lvl w:ilvl="7">
      <w:start w:val="1"/>
      <w:numFmt w:val="bullet"/>
      <w:lvlText w:val=""/>
      <w:lvlJc w:val="left"/>
      <w:pPr>
        <w:tabs>
          <w:tab w:val="num" w:pos="0"/>
        </w:tabs>
        <w:ind w:left="5760" w:hanging="360"/>
      </w:pPr>
      <w:rPr>
        <w:rFonts w:ascii="Wingdings 2" w:hAnsi="Wingdings 2"/>
        <w:u w:val="none"/>
      </w:rPr>
    </w:lvl>
    <w:lvl w:ilvl="8">
      <w:start w:val="1"/>
      <w:numFmt w:val="bullet"/>
      <w:lvlText w:val="■"/>
      <w:lvlJc w:val="left"/>
      <w:pPr>
        <w:tabs>
          <w:tab w:val="num" w:pos="0"/>
        </w:tabs>
        <w:ind w:left="6480" w:hanging="360"/>
      </w:pPr>
      <w:rPr>
        <w:rFonts w:ascii="OpenSymbol" w:hAnsi="OpenSymbol"/>
        <w:u w:val="none"/>
      </w:rPr>
    </w:lvl>
  </w:abstractNum>
  <w:abstractNum w:abstractNumId="12" w15:restartNumberingAfterBreak="0">
    <w:nsid w:val="1B5129F0"/>
    <w:multiLevelType w:val="multilevel"/>
    <w:tmpl w:val="E0F25CE6"/>
    <w:lvl w:ilvl="0">
      <w:start w:val="1"/>
      <w:numFmt w:val="bullet"/>
      <w:lvlText w:val=""/>
      <w:lvlJc w:val="left"/>
      <w:pPr>
        <w:ind w:left="6" w:hanging="360"/>
      </w:pPr>
      <w:rPr>
        <w:rFonts w:ascii="Wingdings" w:hAnsi="Wingdings" w:cs="Symbol" w:hint="default"/>
        <w:b w:val="0"/>
        <w:i w:val="0"/>
        <w:color w:val="52E5BA"/>
        <w:sz w:val="24"/>
      </w:rPr>
    </w:lvl>
    <w:lvl w:ilvl="1">
      <w:start w:val="1"/>
      <w:numFmt w:val="bullet"/>
      <w:lvlText w:val="o"/>
      <w:lvlJc w:val="left"/>
      <w:pPr>
        <w:ind w:left="726" w:hanging="360"/>
      </w:pPr>
      <w:rPr>
        <w:rFonts w:ascii="Courier New" w:hAnsi="Courier New" w:cs="Courier New" w:hint="default"/>
      </w:rPr>
    </w:lvl>
    <w:lvl w:ilvl="2">
      <w:start w:val="1"/>
      <w:numFmt w:val="bullet"/>
      <w:lvlText w:val=""/>
      <w:lvlJc w:val="left"/>
      <w:pPr>
        <w:ind w:left="1446" w:hanging="360"/>
      </w:pPr>
      <w:rPr>
        <w:rFonts w:ascii="Wingdings" w:hAnsi="Wingdings" w:cs="Wingdings" w:hint="default"/>
      </w:rPr>
    </w:lvl>
    <w:lvl w:ilvl="3">
      <w:start w:val="1"/>
      <w:numFmt w:val="bullet"/>
      <w:lvlText w:val=""/>
      <w:lvlJc w:val="left"/>
      <w:pPr>
        <w:ind w:left="2166" w:hanging="360"/>
      </w:pPr>
      <w:rPr>
        <w:rFonts w:ascii="Symbol" w:hAnsi="Symbol" w:cs="Symbol" w:hint="default"/>
      </w:rPr>
    </w:lvl>
    <w:lvl w:ilvl="4">
      <w:start w:val="1"/>
      <w:numFmt w:val="bullet"/>
      <w:lvlText w:val="o"/>
      <w:lvlJc w:val="left"/>
      <w:pPr>
        <w:ind w:left="2886" w:hanging="360"/>
      </w:pPr>
      <w:rPr>
        <w:rFonts w:ascii="Courier New" w:hAnsi="Courier New" w:cs="Courier New" w:hint="default"/>
      </w:rPr>
    </w:lvl>
    <w:lvl w:ilvl="5">
      <w:start w:val="1"/>
      <w:numFmt w:val="bullet"/>
      <w:lvlText w:val=""/>
      <w:lvlJc w:val="left"/>
      <w:pPr>
        <w:ind w:left="3606" w:hanging="360"/>
      </w:pPr>
      <w:rPr>
        <w:rFonts w:ascii="Wingdings" w:hAnsi="Wingdings" w:cs="Wingdings" w:hint="default"/>
      </w:rPr>
    </w:lvl>
    <w:lvl w:ilvl="6">
      <w:start w:val="1"/>
      <w:numFmt w:val="bullet"/>
      <w:lvlText w:val=""/>
      <w:lvlJc w:val="left"/>
      <w:pPr>
        <w:ind w:left="4326" w:hanging="360"/>
      </w:pPr>
      <w:rPr>
        <w:rFonts w:ascii="Symbol" w:hAnsi="Symbol" w:cs="Symbol" w:hint="default"/>
      </w:rPr>
    </w:lvl>
    <w:lvl w:ilvl="7">
      <w:start w:val="1"/>
      <w:numFmt w:val="bullet"/>
      <w:lvlText w:val="o"/>
      <w:lvlJc w:val="left"/>
      <w:pPr>
        <w:ind w:left="5046" w:hanging="360"/>
      </w:pPr>
      <w:rPr>
        <w:rFonts w:ascii="Courier New" w:hAnsi="Courier New" w:cs="Courier New" w:hint="default"/>
      </w:rPr>
    </w:lvl>
    <w:lvl w:ilvl="8">
      <w:start w:val="1"/>
      <w:numFmt w:val="bullet"/>
      <w:lvlText w:val=""/>
      <w:lvlJc w:val="left"/>
      <w:pPr>
        <w:ind w:left="5766" w:hanging="360"/>
      </w:pPr>
      <w:rPr>
        <w:rFonts w:ascii="Wingdings" w:hAnsi="Wingdings" w:cs="Wingdings" w:hint="default"/>
      </w:rPr>
    </w:lvl>
  </w:abstractNum>
  <w:abstractNum w:abstractNumId="13" w15:restartNumberingAfterBreak="0">
    <w:nsid w:val="2CE92AD1"/>
    <w:multiLevelType w:val="hybridMultilevel"/>
    <w:tmpl w:val="BE380338"/>
    <w:lvl w:ilvl="0" w:tplc="E314F81E">
      <w:start w:val="1"/>
      <w:numFmt w:val="decimal"/>
      <w:pStyle w:val="Listnumbers"/>
      <w:lvlText w:val="%1."/>
      <w:lvlJc w:val="left"/>
      <w:pPr>
        <w:ind w:left="502" w:hanging="360"/>
      </w:pPr>
      <w:rPr>
        <w:rFonts w:ascii="Montserrat SemiBold" w:hAnsi="Montserrat SemiBold" w:hint="default"/>
        <w:b w:val="0"/>
        <w:i w:val="0"/>
        <w:color w:val="52E5BA"/>
        <w:sz w:val="20"/>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cs="Wingdings" w:hint="default"/>
      </w:rPr>
    </w:lvl>
    <w:lvl w:ilvl="3" w:tplc="08090001" w:tentative="1">
      <w:start w:val="1"/>
      <w:numFmt w:val="bullet"/>
      <w:lvlText w:val=""/>
      <w:lvlJc w:val="left"/>
      <w:pPr>
        <w:ind w:left="2662" w:hanging="360"/>
      </w:pPr>
      <w:rPr>
        <w:rFonts w:ascii="Symbol" w:hAnsi="Symbol" w:cs="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cs="Wingdings" w:hint="default"/>
      </w:rPr>
    </w:lvl>
    <w:lvl w:ilvl="6" w:tplc="08090001" w:tentative="1">
      <w:start w:val="1"/>
      <w:numFmt w:val="bullet"/>
      <w:lvlText w:val=""/>
      <w:lvlJc w:val="left"/>
      <w:pPr>
        <w:ind w:left="4822" w:hanging="360"/>
      </w:pPr>
      <w:rPr>
        <w:rFonts w:ascii="Symbol" w:hAnsi="Symbol" w:cs="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cs="Wingdings" w:hint="default"/>
      </w:rPr>
    </w:lvl>
  </w:abstractNum>
  <w:abstractNum w:abstractNumId="14" w15:restartNumberingAfterBreak="0">
    <w:nsid w:val="58E7583D"/>
    <w:multiLevelType w:val="hybridMultilevel"/>
    <w:tmpl w:val="F9502952"/>
    <w:lvl w:ilvl="0" w:tplc="91D63D88">
      <w:start w:val="1"/>
      <w:numFmt w:val="bullet"/>
      <w:pStyle w:val="ListParagraph"/>
      <w:lvlText w:val="n"/>
      <w:lvlJc w:val="left"/>
      <w:pPr>
        <w:ind w:left="6" w:hanging="360"/>
      </w:pPr>
      <w:rPr>
        <w:rFonts w:ascii="Wingdings" w:hAnsi="Wingdings" w:cs="Symbol" w:hint="default"/>
        <w:b w:val="0"/>
        <w:i w:val="0"/>
        <w:color w:val="52E5BA"/>
        <w:sz w:val="24"/>
      </w:rPr>
    </w:lvl>
    <w:lvl w:ilvl="1" w:tplc="08090003" w:tentative="1">
      <w:start w:val="1"/>
      <w:numFmt w:val="bullet"/>
      <w:lvlText w:val="o"/>
      <w:lvlJc w:val="left"/>
      <w:pPr>
        <w:ind w:left="726" w:hanging="360"/>
      </w:pPr>
      <w:rPr>
        <w:rFonts w:ascii="Courier New" w:hAnsi="Courier New" w:cs="Courier New" w:hint="default"/>
      </w:rPr>
    </w:lvl>
    <w:lvl w:ilvl="2" w:tplc="08090005" w:tentative="1">
      <w:start w:val="1"/>
      <w:numFmt w:val="bullet"/>
      <w:lvlText w:val=""/>
      <w:lvlJc w:val="left"/>
      <w:pPr>
        <w:ind w:left="1446" w:hanging="360"/>
      </w:pPr>
      <w:rPr>
        <w:rFonts w:ascii="Wingdings" w:hAnsi="Wingdings" w:cs="Wingdings" w:hint="default"/>
      </w:rPr>
    </w:lvl>
    <w:lvl w:ilvl="3" w:tplc="08090001" w:tentative="1">
      <w:start w:val="1"/>
      <w:numFmt w:val="bullet"/>
      <w:lvlText w:val=""/>
      <w:lvlJc w:val="left"/>
      <w:pPr>
        <w:ind w:left="2166" w:hanging="360"/>
      </w:pPr>
      <w:rPr>
        <w:rFonts w:ascii="Symbol" w:hAnsi="Symbol" w:cs="Symbol" w:hint="default"/>
      </w:rPr>
    </w:lvl>
    <w:lvl w:ilvl="4" w:tplc="08090003" w:tentative="1">
      <w:start w:val="1"/>
      <w:numFmt w:val="bullet"/>
      <w:lvlText w:val="o"/>
      <w:lvlJc w:val="left"/>
      <w:pPr>
        <w:ind w:left="2886" w:hanging="360"/>
      </w:pPr>
      <w:rPr>
        <w:rFonts w:ascii="Courier New" w:hAnsi="Courier New" w:cs="Courier New" w:hint="default"/>
      </w:rPr>
    </w:lvl>
    <w:lvl w:ilvl="5" w:tplc="08090005" w:tentative="1">
      <w:start w:val="1"/>
      <w:numFmt w:val="bullet"/>
      <w:lvlText w:val=""/>
      <w:lvlJc w:val="left"/>
      <w:pPr>
        <w:ind w:left="3606" w:hanging="360"/>
      </w:pPr>
      <w:rPr>
        <w:rFonts w:ascii="Wingdings" w:hAnsi="Wingdings" w:cs="Wingdings" w:hint="default"/>
      </w:rPr>
    </w:lvl>
    <w:lvl w:ilvl="6" w:tplc="08090001" w:tentative="1">
      <w:start w:val="1"/>
      <w:numFmt w:val="bullet"/>
      <w:lvlText w:val=""/>
      <w:lvlJc w:val="left"/>
      <w:pPr>
        <w:ind w:left="4326" w:hanging="360"/>
      </w:pPr>
      <w:rPr>
        <w:rFonts w:ascii="Symbol" w:hAnsi="Symbol" w:cs="Symbol" w:hint="default"/>
      </w:rPr>
    </w:lvl>
    <w:lvl w:ilvl="7" w:tplc="08090003" w:tentative="1">
      <w:start w:val="1"/>
      <w:numFmt w:val="bullet"/>
      <w:lvlText w:val="o"/>
      <w:lvlJc w:val="left"/>
      <w:pPr>
        <w:ind w:left="5046" w:hanging="360"/>
      </w:pPr>
      <w:rPr>
        <w:rFonts w:ascii="Courier New" w:hAnsi="Courier New" w:cs="Courier New" w:hint="default"/>
      </w:rPr>
    </w:lvl>
    <w:lvl w:ilvl="8" w:tplc="08090005" w:tentative="1">
      <w:start w:val="1"/>
      <w:numFmt w:val="bullet"/>
      <w:lvlText w:val=""/>
      <w:lvlJc w:val="left"/>
      <w:pPr>
        <w:ind w:left="5766" w:hanging="360"/>
      </w:pPr>
      <w:rPr>
        <w:rFonts w:ascii="Wingdings" w:hAnsi="Wingdings" w:cs="Wingdings" w:hint="default"/>
      </w:rPr>
    </w:lvl>
  </w:abstractNum>
  <w:abstractNum w:abstractNumId="15" w15:restartNumberingAfterBreak="0">
    <w:nsid w:val="6ED07465"/>
    <w:multiLevelType w:val="hybridMultilevel"/>
    <w:tmpl w:val="C39813E8"/>
    <w:lvl w:ilvl="0" w:tplc="2098CEB0">
      <w:start w:val="4"/>
      <w:numFmt w:val="bullet"/>
      <w:lvlText w:val="-"/>
      <w:lvlJc w:val="left"/>
      <w:pPr>
        <w:ind w:left="502" w:hanging="360"/>
      </w:pPr>
      <w:rPr>
        <w:rFonts w:ascii="Montserrat Light" w:eastAsiaTheme="minorHAnsi" w:hAnsi="Montserrat Light" w:cs="Arial" w:hint="default"/>
      </w:rPr>
    </w:lvl>
    <w:lvl w:ilvl="1" w:tplc="04090003" w:tentative="1">
      <w:start w:val="1"/>
      <w:numFmt w:val="bullet"/>
      <w:lvlText w:val="o"/>
      <w:lvlJc w:val="left"/>
      <w:pPr>
        <w:ind w:left="1222" w:hanging="360"/>
      </w:pPr>
      <w:rPr>
        <w:rFonts w:ascii="Courier New" w:hAnsi="Courier New" w:cs="Courier New" w:hint="default"/>
      </w:rPr>
    </w:lvl>
    <w:lvl w:ilvl="2" w:tplc="04090005" w:tentative="1">
      <w:start w:val="1"/>
      <w:numFmt w:val="bullet"/>
      <w:lvlText w:val=""/>
      <w:lvlJc w:val="left"/>
      <w:pPr>
        <w:ind w:left="1942" w:hanging="360"/>
      </w:pPr>
      <w:rPr>
        <w:rFonts w:ascii="Wingdings" w:hAnsi="Wingdings" w:hint="default"/>
      </w:rPr>
    </w:lvl>
    <w:lvl w:ilvl="3" w:tplc="04090001" w:tentative="1">
      <w:start w:val="1"/>
      <w:numFmt w:val="bullet"/>
      <w:lvlText w:val=""/>
      <w:lvlJc w:val="left"/>
      <w:pPr>
        <w:ind w:left="2662" w:hanging="360"/>
      </w:pPr>
      <w:rPr>
        <w:rFonts w:ascii="Symbol" w:hAnsi="Symbol" w:hint="default"/>
      </w:rPr>
    </w:lvl>
    <w:lvl w:ilvl="4" w:tplc="04090003" w:tentative="1">
      <w:start w:val="1"/>
      <w:numFmt w:val="bullet"/>
      <w:lvlText w:val="o"/>
      <w:lvlJc w:val="left"/>
      <w:pPr>
        <w:ind w:left="3382" w:hanging="360"/>
      </w:pPr>
      <w:rPr>
        <w:rFonts w:ascii="Courier New" w:hAnsi="Courier New" w:cs="Courier New" w:hint="default"/>
      </w:rPr>
    </w:lvl>
    <w:lvl w:ilvl="5" w:tplc="04090005" w:tentative="1">
      <w:start w:val="1"/>
      <w:numFmt w:val="bullet"/>
      <w:lvlText w:val=""/>
      <w:lvlJc w:val="left"/>
      <w:pPr>
        <w:ind w:left="4102" w:hanging="360"/>
      </w:pPr>
      <w:rPr>
        <w:rFonts w:ascii="Wingdings" w:hAnsi="Wingdings" w:hint="default"/>
      </w:rPr>
    </w:lvl>
    <w:lvl w:ilvl="6" w:tplc="04090001" w:tentative="1">
      <w:start w:val="1"/>
      <w:numFmt w:val="bullet"/>
      <w:lvlText w:val=""/>
      <w:lvlJc w:val="left"/>
      <w:pPr>
        <w:ind w:left="4822" w:hanging="360"/>
      </w:pPr>
      <w:rPr>
        <w:rFonts w:ascii="Symbol" w:hAnsi="Symbol" w:hint="default"/>
      </w:rPr>
    </w:lvl>
    <w:lvl w:ilvl="7" w:tplc="04090003" w:tentative="1">
      <w:start w:val="1"/>
      <w:numFmt w:val="bullet"/>
      <w:lvlText w:val="o"/>
      <w:lvlJc w:val="left"/>
      <w:pPr>
        <w:ind w:left="5542" w:hanging="360"/>
      </w:pPr>
      <w:rPr>
        <w:rFonts w:ascii="Courier New" w:hAnsi="Courier New" w:cs="Courier New" w:hint="default"/>
      </w:rPr>
    </w:lvl>
    <w:lvl w:ilvl="8" w:tplc="04090005" w:tentative="1">
      <w:start w:val="1"/>
      <w:numFmt w:val="bullet"/>
      <w:lvlText w:val=""/>
      <w:lvlJc w:val="left"/>
      <w:pPr>
        <w:ind w:left="6262" w:hanging="360"/>
      </w:pPr>
      <w:rPr>
        <w:rFonts w:ascii="Wingdings" w:hAnsi="Wingdings" w:hint="default"/>
      </w:rPr>
    </w:lvl>
  </w:abstractNum>
  <w:num w:numId="1">
    <w:abstractNumId w:val="14"/>
  </w:num>
  <w:num w:numId="2">
    <w:abstractNumId w:val="13"/>
  </w:num>
  <w:num w:numId="3">
    <w:abstractNumId w:val="12"/>
  </w:num>
  <w:num w:numId="4">
    <w:abstractNumId w:val="14"/>
    <w:lvlOverride w:ilvl="0">
      <w:startOverride w:val="1"/>
    </w:lvlOverride>
  </w:num>
  <w:num w:numId="5">
    <w:abstractNumId w:val="0"/>
  </w:num>
  <w:num w:numId="6">
    <w:abstractNumId w:val="1"/>
  </w:num>
  <w:num w:numId="7">
    <w:abstractNumId w:val="2"/>
  </w:num>
  <w:num w:numId="8">
    <w:abstractNumId w:val="3"/>
  </w:num>
  <w:num w:numId="9">
    <w:abstractNumId w:val="8"/>
  </w:num>
  <w:num w:numId="10">
    <w:abstractNumId w:val="4"/>
  </w:num>
  <w:num w:numId="11">
    <w:abstractNumId w:val="5"/>
  </w:num>
  <w:num w:numId="12">
    <w:abstractNumId w:val="6"/>
  </w:num>
  <w:num w:numId="13">
    <w:abstractNumId w:val="7"/>
  </w:num>
  <w:num w:numId="14">
    <w:abstractNumId w:val="9"/>
  </w:num>
  <w:num w:numId="15">
    <w:abstractNumId w:val="15"/>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95"/>
  <w:embedTrueTypeFonts/>
  <w:activeWritingStyle w:appName="MSWord" w:lang="en-US"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nl-NL" w:vendorID="64" w:dllVersion="4096" w:nlCheck="1" w:checkStyle="0"/>
  <w:activeWritingStyle w:appName="MSWord" w:lang="en-GB" w:vendorID="64" w:dllVersion="0" w:nlCheck="1" w:checkStyle="0"/>
  <w:activeWritingStyle w:appName="MSWord" w:lang="en-US" w:vendorID="64" w:dllVersion="0" w:nlCheck="1" w:checkStyle="0"/>
  <w:activeWritingStyle w:appName="MSWord" w:lang="en-GB" w:vendorID="64" w:dllVersion="6" w:nlCheck="1" w:checkStyle="1"/>
  <w:activeWritingStyle w:appName="MSWord" w:lang="en-US" w:vendorID="64" w:dllVersion="6" w:nlCheck="1" w:checkStyle="1"/>
  <w:activeWritingStyle w:appName="MSWord" w:lang="en-AU" w:vendorID="64" w:dllVersion="6" w:nlCheck="1" w:checkStyle="1"/>
  <w:activeWritingStyle w:appName="MSWord" w:lang="en-AU" w:vendorID="64" w:dllVersion="0" w:nlCheck="1" w:checkStyle="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6145"/>
  </w:hdrShapeDefaults>
  <w:footnotePr>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2E9A"/>
    <w:rsid w:val="0000079D"/>
    <w:rsid w:val="00000996"/>
    <w:rsid w:val="00000BEC"/>
    <w:rsid w:val="00000CCA"/>
    <w:rsid w:val="00005A99"/>
    <w:rsid w:val="00005F9D"/>
    <w:rsid w:val="00006085"/>
    <w:rsid w:val="00006712"/>
    <w:rsid w:val="0000688D"/>
    <w:rsid w:val="000071BA"/>
    <w:rsid w:val="00007DB9"/>
    <w:rsid w:val="00011144"/>
    <w:rsid w:val="000142E3"/>
    <w:rsid w:val="00014918"/>
    <w:rsid w:val="00014B2D"/>
    <w:rsid w:val="000153AB"/>
    <w:rsid w:val="00015794"/>
    <w:rsid w:val="00017C69"/>
    <w:rsid w:val="00021019"/>
    <w:rsid w:val="00021CCF"/>
    <w:rsid w:val="00023285"/>
    <w:rsid w:val="0002352F"/>
    <w:rsid w:val="00024EDF"/>
    <w:rsid w:val="00027721"/>
    <w:rsid w:val="000308F5"/>
    <w:rsid w:val="000312CD"/>
    <w:rsid w:val="000317F8"/>
    <w:rsid w:val="000318FC"/>
    <w:rsid w:val="00032678"/>
    <w:rsid w:val="000331AB"/>
    <w:rsid w:val="00033E64"/>
    <w:rsid w:val="00034620"/>
    <w:rsid w:val="0003558E"/>
    <w:rsid w:val="00037735"/>
    <w:rsid w:val="00041AC0"/>
    <w:rsid w:val="000425B2"/>
    <w:rsid w:val="0004265E"/>
    <w:rsid w:val="00043584"/>
    <w:rsid w:val="00043E7B"/>
    <w:rsid w:val="00044901"/>
    <w:rsid w:val="00046766"/>
    <w:rsid w:val="00047503"/>
    <w:rsid w:val="0005213A"/>
    <w:rsid w:val="00052F5E"/>
    <w:rsid w:val="00053B3C"/>
    <w:rsid w:val="00054F4B"/>
    <w:rsid w:val="000554E9"/>
    <w:rsid w:val="00055FF2"/>
    <w:rsid w:val="00056A06"/>
    <w:rsid w:val="000570E5"/>
    <w:rsid w:val="000607FE"/>
    <w:rsid w:val="00065EA0"/>
    <w:rsid w:val="0006642E"/>
    <w:rsid w:val="0006738B"/>
    <w:rsid w:val="000709BD"/>
    <w:rsid w:val="00071CB0"/>
    <w:rsid w:val="0007341B"/>
    <w:rsid w:val="00073831"/>
    <w:rsid w:val="00076449"/>
    <w:rsid w:val="00077D57"/>
    <w:rsid w:val="00083A3B"/>
    <w:rsid w:val="00083FA8"/>
    <w:rsid w:val="000851E1"/>
    <w:rsid w:val="000856F6"/>
    <w:rsid w:val="00086EAE"/>
    <w:rsid w:val="00087544"/>
    <w:rsid w:val="00091A26"/>
    <w:rsid w:val="00091DE1"/>
    <w:rsid w:val="0009331A"/>
    <w:rsid w:val="00094F0B"/>
    <w:rsid w:val="0009619E"/>
    <w:rsid w:val="000A0C14"/>
    <w:rsid w:val="000A14BD"/>
    <w:rsid w:val="000A1F07"/>
    <w:rsid w:val="000A2090"/>
    <w:rsid w:val="000B0814"/>
    <w:rsid w:val="000B12B4"/>
    <w:rsid w:val="000B1C87"/>
    <w:rsid w:val="000B287B"/>
    <w:rsid w:val="000B2D36"/>
    <w:rsid w:val="000B3A46"/>
    <w:rsid w:val="000B4B2E"/>
    <w:rsid w:val="000B4FBF"/>
    <w:rsid w:val="000B5941"/>
    <w:rsid w:val="000B5C43"/>
    <w:rsid w:val="000B6B86"/>
    <w:rsid w:val="000B7C34"/>
    <w:rsid w:val="000B7EE1"/>
    <w:rsid w:val="000C072D"/>
    <w:rsid w:val="000C0FE2"/>
    <w:rsid w:val="000C1234"/>
    <w:rsid w:val="000C16DC"/>
    <w:rsid w:val="000C1B73"/>
    <w:rsid w:val="000C341D"/>
    <w:rsid w:val="000C3F68"/>
    <w:rsid w:val="000C418E"/>
    <w:rsid w:val="000C4D6E"/>
    <w:rsid w:val="000C6462"/>
    <w:rsid w:val="000D12C4"/>
    <w:rsid w:val="000D1F55"/>
    <w:rsid w:val="000D27E3"/>
    <w:rsid w:val="000D291D"/>
    <w:rsid w:val="000D3935"/>
    <w:rsid w:val="000D3BBB"/>
    <w:rsid w:val="000D55F8"/>
    <w:rsid w:val="000D580A"/>
    <w:rsid w:val="000D7A2C"/>
    <w:rsid w:val="000E00B8"/>
    <w:rsid w:val="000E04D4"/>
    <w:rsid w:val="000E1CF1"/>
    <w:rsid w:val="000E23FC"/>
    <w:rsid w:val="000E314C"/>
    <w:rsid w:val="000E3528"/>
    <w:rsid w:val="000E6EAF"/>
    <w:rsid w:val="000F03E7"/>
    <w:rsid w:val="000F0865"/>
    <w:rsid w:val="000F0B1A"/>
    <w:rsid w:val="000F0CB8"/>
    <w:rsid w:val="000F0FE3"/>
    <w:rsid w:val="000F40B2"/>
    <w:rsid w:val="000F5409"/>
    <w:rsid w:val="000F55F9"/>
    <w:rsid w:val="000F6973"/>
    <w:rsid w:val="00100206"/>
    <w:rsid w:val="001013F9"/>
    <w:rsid w:val="00101A67"/>
    <w:rsid w:val="00104C8D"/>
    <w:rsid w:val="00112675"/>
    <w:rsid w:val="00113766"/>
    <w:rsid w:val="001143B1"/>
    <w:rsid w:val="001153BC"/>
    <w:rsid w:val="001153C2"/>
    <w:rsid w:val="00115712"/>
    <w:rsid w:val="0011586C"/>
    <w:rsid w:val="00115B6B"/>
    <w:rsid w:val="00116968"/>
    <w:rsid w:val="001227DF"/>
    <w:rsid w:val="0012343B"/>
    <w:rsid w:val="001239B4"/>
    <w:rsid w:val="00124E7F"/>
    <w:rsid w:val="00125AF4"/>
    <w:rsid w:val="00126CAE"/>
    <w:rsid w:val="00126FAC"/>
    <w:rsid w:val="00127B95"/>
    <w:rsid w:val="00130993"/>
    <w:rsid w:val="00131DBD"/>
    <w:rsid w:val="00131E8A"/>
    <w:rsid w:val="0013566C"/>
    <w:rsid w:val="00135EC6"/>
    <w:rsid w:val="00136BC9"/>
    <w:rsid w:val="00137C1C"/>
    <w:rsid w:val="0014127E"/>
    <w:rsid w:val="00141919"/>
    <w:rsid w:val="00141D87"/>
    <w:rsid w:val="00142B5A"/>
    <w:rsid w:val="00143E70"/>
    <w:rsid w:val="0014655E"/>
    <w:rsid w:val="0014739B"/>
    <w:rsid w:val="00147621"/>
    <w:rsid w:val="00147AD2"/>
    <w:rsid w:val="00150338"/>
    <w:rsid w:val="0015217B"/>
    <w:rsid w:val="00154DDB"/>
    <w:rsid w:val="00155145"/>
    <w:rsid w:val="001574F7"/>
    <w:rsid w:val="00157A5C"/>
    <w:rsid w:val="00157C26"/>
    <w:rsid w:val="00161137"/>
    <w:rsid w:val="00162BC3"/>
    <w:rsid w:val="00164AE0"/>
    <w:rsid w:val="00165F3A"/>
    <w:rsid w:val="0016662C"/>
    <w:rsid w:val="00166C7B"/>
    <w:rsid w:val="00167F08"/>
    <w:rsid w:val="00172C9A"/>
    <w:rsid w:val="00172F77"/>
    <w:rsid w:val="00175D84"/>
    <w:rsid w:val="00175F36"/>
    <w:rsid w:val="001816FC"/>
    <w:rsid w:val="00181E07"/>
    <w:rsid w:val="00181F89"/>
    <w:rsid w:val="00182442"/>
    <w:rsid w:val="00183C29"/>
    <w:rsid w:val="00183EC5"/>
    <w:rsid w:val="00187140"/>
    <w:rsid w:val="001872F5"/>
    <w:rsid w:val="00187C8E"/>
    <w:rsid w:val="00192493"/>
    <w:rsid w:val="001924AA"/>
    <w:rsid w:val="00192D56"/>
    <w:rsid w:val="00193B58"/>
    <w:rsid w:val="00193FCE"/>
    <w:rsid w:val="0019743F"/>
    <w:rsid w:val="0019753E"/>
    <w:rsid w:val="001977E8"/>
    <w:rsid w:val="00197F9E"/>
    <w:rsid w:val="001A4D2A"/>
    <w:rsid w:val="001A5619"/>
    <w:rsid w:val="001A6281"/>
    <w:rsid w:val="001B0240"/>
    <w:rsid w:val="001B271D"/>
    <w:rsid w:val="001B5026"/>
    <w:rsid w:val="001B655A"/>
    <w:rsid w:val="001B701C"/>
    <w:rsid w:val="001C07FF"/>
    <w:rsid w:val="001C21FC"/>
    <w:rsid w:val="001C256D"/>
    <w:rsid w:val="001C5834"/>
    <w:rsid w:val="001C7BEE"/>
    <w:rsid w:val="001D1350"/>
    <w:rsid w:val="001D3500"/>
    <w:rsid w:val="001D480E"/>
    <w:rsid w:val="001D4DE6"/>
    <w:rsid w:val="001D5145"/>
    <w:rsid w:val="001D6EC7"/>
    <w:rsid w:val="001D7727"/>
    <w:rsid w:val="001E2B12"/>
    <w:rsid w:val="001E5E37"/>
    <w:rsid w:val="001E6CCE"/>
    <w:rsid w:val="001F314B"/>
    <w:rsid w:val="001F4C74"/>
    <w:rsid w:val="001F4E6E"/>
    <w:rsid w:val="001F50A6"/>
    <w:rsid w:val="001F7B35"/>
    <w:rsid w:val="00202372"/>
    <w:rsid w:val="00202378"/>
    <w:rsid w:val="00203C17"/>
    <w:rsid w:val="00203CDC"/>
    <w:rsid w:val="00204B20"/>
    <w:rsid w:val="002067D0"/>
    <w:rsid w:val="002074DB"/>
    <w:rsid w:val="0021134E"/>
    <w:rsid w:val="0021292B"/>
    <w:rsid w:val="00213EF2"/>
    <w:rsid w:val="00215836"/>
    <w:rsid w:val="00216B7A"/>
    <w:rsid w:val="002227CF"/>
    <w:rsid w:val="00224158"/>
    <w:rsid w:val="00225C0B"/>
    <w:rsid w:val="0022632D"/>
    <w:rsid w:val="0022795F"/>
    <w:rsid w:val="00230A09"/>
    <w:rsid w:val="00230E05"/>
    <w:rsid w:val="00231BFD"/>
    <w:rsid w:val="00231EED"/>
    <w:rsid w:val="002330A0"/>
    <w:rsid w:val="002336D2"/>
    <w:rsid w:val="0023533D"/>
    <w:rsid w:val="00235B06"/>
    <w:rsid w:val="00235BF0"/>
    <w:rsid w:val="00236B03"/>
    <w:rsid w:val="00236F2C"/>
    <w:rsid w:val="00237594"/>
    <w:rsid w:val="002423B3"/>
    <w:rsid w:val="00242830"/>
    <w:rsid w:val="00243669"/>
    <w:rsid w:val="002451A7"/>
    <w:rsid w:val="00245A0B"/>
    <w:rsid w:val="00245AAB"/>
    <w:rsid w:val="002460AF"/>
    <w:rsid w:val="002468BC"/>
    <w:rsid w:val="00247A0C"/>
    <w:rsid w:val="00247ADE"/>
    <w:rsid w:val="00250368"/>
    <w:rsid w:val="00253B48"/>
    <w:rsid w:val="00253BDA"/>
    <w:rsid w:val="00253E14"/>
    <w:rsid w:val="002548DA"/>
    <w:rsid w:val="00254E72"/>
    <w:rsid w:val="00255C85"/>
    <w:rsid w:val="00256076"/>
    <w:rsid w:val="002605E7"/>
    <w:rsid w:val="00260B15"/>
    <w:rsid w:val="00261648"/>
    <w:rsid w:val="00261937"/>
    <w:rsid w:val="00262434"/>
    <w:rsid w:val="00266C59"/>
    <w:rsid w:val="002719FA"/>
    <w:rsid w:val="00272718"/>
    <w:rsid w:val="002730B5"/>
    <w:rsid w:val="00273FF1"/>
    <w:rsid w:val="0027561B"/>
    <w:rsid w:val="00275E54"/>
    <w:rsid w:val="00276065"/>
    <w:rsid w:val="00276B8F"/>
    <w:rsid w:val="0028079F"/>
    <w:rsid w:val="002823B5"/>
    <w:rsid w:val="00284256"/>
    <w:rsid w:val="002874B3"/>
    <w:rsid w:val="002876A6"/>
    <w:rsid w:val="002911C4"/>
    <w:rsid w:val="00293A63"/>
    <w:rsid w:val="00294250"/>
    <w:rsid w:val="00295B36"/>
    <w:rsid w:val="002964C7"/>
    <w:rsid w:val="002973C0"/>
    <w:rsid w:val="002A00BD"/>
    <w:rsid w:val="002A2577"/>
    <w:rsid w:val="002A3766"/>
    <w:rsid w:val="002A4875"/>
    <w:rsid w:val="002A5EAD"/>
    <w:rsid w:val="002A6FC1"/>
    <w:rsid w:val="002A7768"/>
    <w:rsid w:val="002B0483"/>
    <w:rsid w:val="002B0EDC"/>
    <w:rsid w:val="002B13CD"/>
    <w:rsid w:val="002B13F2"/>
    <w:rsid w:val="002B182C"/>
    <w:rsid w:val="002B1E3A"/>
    <w:rsid w:val="002B27D0"/>
    <w:rsid w:val="002B340F"/>
    <w:rsid w:val="002B5043"/>
    <w:rsid w:val="002B5C87"/>
    <w:rsid w:val="002B5CB5"/>
    <w:rsid w:val="002B68EC"/>
    <w:rsid w:val="002B72B8"/>
    <w:rsid w:val="002C0613"/>
    <w:rsid w:val="002C5183"/>
    <w:rsid w:val="002C7168"/>
    <w:rsid w:val="002C7E38"/>
    <w:rsid w:val="002D03D0"/>
    <w:rsid w:val="002D0DB7"/>
    <w:rsid w:val="002D17C5"/>
    <w:rsid w:val="002D1B24"/>
    <w:rsid w:val="002D1D22"/>
    <w:rsid w:val="002D21C9"/>
    <w:rsid w:val="002D31A6"/>
    <w:rsid w:val="002D3361"/>
    <w:rsid w:val="002D33AD"/>
    <w:rsid w:val="002E0C7C"/>
    <w:rsid w:val="002E1225"/>
    <w:rsid w:val="002E1832"/>
    <w:rsid w:val="002E1B62"/>
    <w:rsid w:val="002E4A7B"/>
    <w:rsid w:val="002E7E63"/>
    <w:rsid w:val="002F0BE3"/>
    <w:rsid w:val="002F17C1"/>
    <w:rsid w:val="002F4D85"/>
    <w:rsid w:val="002F4E24"/>
    <w:rsid w:val="002F5CB0"/>
    <w:rsid w:val="002F7BF5"/>
    <w:rsid w:val="00301B7B"/>
    <w:rsid w:val="00301FBD"/>
    <w:rsid w:val="003025A2"/>
    <w:rsid w:val="00303DA6"/>
    <w:rsid w:val="00304477"/>
    <w:rsid w:val="00304F29"/>
    <w:rsid w:val="00304FE3"/>
    <w:rsid w:val="00307BE1"/>
    <w:rsid w:val="00307CCD"/>
    <w:rsid w:val="00307CFC"/>
    <w:rsid w:val="00312F7F"/>
    <w:rsid w:val="003148C3"/>
    <w:rsid w:val="0031571F"/>
    <w:rsid w:val="00317064"/>
    <w:rsid w:val="003203EE"/>
    <w:rsid w:val="00321E15"/>
    <w:rsid w:val="003227D2"/>
    <w:rsid w:val="00322BAC"/>
    <w:rsid w:val="0032437D"/>
    <w:rsid w:val="00326BD2"/>
    <w:rsid w:val="00330271"/>
    <w:rsid w:val="00330486"/>
    <w:rsid w:val="003319F3"/>
    <w:rsid w:val="00332E91"/>
    <w:rsid w:val="00333A40"/>
    <w:rsid w:val="00334231"/>
    <w:rsid w:val="0034096F"/>
    <w:rsid w:val="00341104"/>
    <w:rsid w:val="00341BF3"/>
    <w:rsid w:val="00343FA3"/>
    <w:rsid w:val="0034483E"/>
    <w:rsid w:val="00344D21"/>
    <w:rsid w:val="003450F4"/>
    <w:rsid w:val="0034657E"/>
    <w:rsid w:val="00346E3C"/>
    <w:rsid w:val="003502D9"/>
    <w:rsid w:val="00351655"/>
    <w:rsid w:val="0035176F"/>
    <w:rsid w:val="00351A8D"/>
    <w:rsid w:val="003528CF"/>
    <w:rsid w:val="00352E1A"/>
    <w:rsid w:val="00354B1B"/>
    <w:rsid w:val="00356C0B"/>
    <w:rsid w:val="00356C7A"/>
    <w:rsid w:val="00362241"/>
    <w:rsid w:val="0036232E"/>
    <w:rsid w:val="0036280A"/>
    <w:rsid w:val="0036327F"/>
    <w:rsid w:val="003641C8"/>
    <w:rsid w:val="00364A09"/>
    <w:rsid w:val="00370071"/>
    <w:rsid w:val="003703C5"/>
    <w:rsid w:val="00373C3D"/>
    <w:rsid w:val="00373F88"/>
    <w:rsid w:val="0037413E"/>
    <w:rsid w:val="00375224"/>
    <w:rsid w:val="0037605F"/>
    <w:rsid w:val="00376B58"/>
    <w:rsid w:val="00377242"/>
    <w:rsid w:val="00383BE6"/>
    <w:rsid w:val="00384A0D"/>
    <w:rsid w:val="00384BC6"/>
    <w:rsid w:val="00384E3F"/>
    <w:rsid w:val="00384FAD"/>
    <w:rsid w:val="00385447"/>
    <w:rsid w:val="00386482"/>
    <w:rsid w:val="00386591"/>
    <w:rsid w:val="00390AA3"/>
    <w:rsid w:val="00392FE2"/>
    <w:rsid w:val="0039325E"/>
    <w:rsid w:val="003946B5"/>
    <w:rsid w:val="003955A4"/>
    <w:rsid w:val="003955BE"/>
    <w:rsid w:val="00395BC1"/>
    <w:rsid w:val="00395DA3"/>
    <w:rsid w:val="00395F60"/>
    <w:rsid w:val="003967EE"/>
    <w:rsid w:val="00397B89"/>
    <w:rsid w:val="00397F3F"/>
    <w:rsid w:val="003A0245"/>
    <w:rsid w:val="003A03CD"/>
    <w:rsid w:val="003A086E"/>
    <w:rsid w:val="003A1F32"/>
    <w:rsid w:val="003A3B2C"/>
    <w:rsid w:val="003A492E"/>
    <w:rsid w:val="003A69E4"/>
    <w:rsid w:val="003A6EE3"/>
    <w:rsid w:val="003A7A2A"/>
    <w:rsid w:val="003B0E39"/>
    <w:rsid w:val="003B36A2"/>
    <w:rsid w:val="003B6CAA"/>
    <w:rsid w:val="003B6EEF"/>
    <w:rsid w:val="003C08B5"/>
    <w:rsid w:val="003C27E2"/>
    <w:rsid w:val="003C2F73"/>
    <w:rsid w:val="003C3443"/>
    <w:rsid w:val="003C452E"/>
    <w:rsid w:val="003C4A25"/>
    <w:rsid w:val="003C62A1"/>
    <w:rsid w:val="003C62B3"/>
    <w:rsid w:val="003C6DDD"/>
    <w:rsid w:val="003D0453"/>
    <w:rsid w:val="003D0F36"/>
    <w:rsid w:val="003D1109"/>
    <w:rsid w:val="003D265D"/>
    <w:rsid w:val="003D50B0"/>
    <w:rsid w:val="003D50FB"/>
    <w:rsid w:val="003D7393"/>
    <w:rsid w:val="003E4E3D"/>
    <w:rsid w:val="003E694A"/>
    <w:rsid w:val="003E6FDD"/>
    <w:rsid w:val="003E7504"/>
    <w:rsid w:val="003E772B"/>
    <w:rsid w:val="003F333A"/>
    <w:rsid w:val="003F34AB"/>
    <w:rsid w:val="003F3FEC"/>
    <w:rsid w:val="003F53A7"/>
    <w:rsid w:val="0040015D"/>
    <w:rsid w:val="004008F5"/>
    <w:rsid w:val="004015A8"/>
    <w:rsid w:val="004022A8"/>
    <w:rsid w:val="0040384E"/>
    <w:rsid w:val="00403CB3"/>
    <w:rsid w:val="00403E24"/>
    <w:rsid w:val="00406492"/>
    <w:rsid w:val="0040679D"/>
    <w:rsid w:val="00407872"/>
    <w:rsid w:val="00412434"/>
    <w:rsid w:val="0041256F"/>
    <w:rsid w:val="00414329"/>
    <w:rsid w:val="00414C4B"/>
    <w:rsid w:val="00415206"/>
    <w:rsid w:val="00416293"/>
    <w:rsid w:val="004169CE"/>
    <w:rsid w:val="004207C6"/>
    <w:rsid w:val="00422D36"/>
    <w:rsid w:val="00425365"/>
    <w:rsid w:val="00426669"/>
    <w:rsid w:val="0042747E"/>
    <w:rsid w:val="00427F0E"/>
    <w:rsid w:val="004304D4"/>
    <w:rsid w:val="00432E9D"/>
    <w:rsid w:val="00432F86"/>
    <w:rsid w:val="00433DF0"/>
    <w:rsid w:val="00434B39"/>
    <w:rsid w:val="004369AD"/>
    <w:rsid w:val="00436BCF"/>
    <w:rsid w:val="0043738F"/>
    <w:rsid w:val="0043774E"/>
    <w:rsid w:val="00441B29"/>
    <w:rsid w:val="0044380F"/>
    <w:rsid w:val="004443EF"/>
    <w:rsid w:val="004449EF"/>
    <w:rsid w:val="00445450"/>
    <w:rsid w:val="004462B3"/>
    <w:rsid w:val="00446E10"/>
    <w:rsid w:val="00447F95"/>
    <w:rsid w:val="0045538D"/>
    <w:rsid w:val="00456220"/>
    <w:rsid w:val="00460411"/>
    <w:rsid w:val="0046068E"/>
    <w:rsid w:val="004608C1"/>
    <w:rsid w:val="00461371"/>
    <w:rsid w:val="0046174D"/>
    <w:rsid w:val="0046241C"/>
    <w:rsid w:val="00463BDE"/>
    <w:rsid w:val="00466FC2"/>
    <w:rsid w:val="00472CEC"/>
    <w:rsid w:val="004739F1"/>
    <w:rsid w:val="0047633C"/>
    <w:rsid w:val="004763AF"/>
    <w:rsid w:val="0047646C"/>
    <w:rsid w:val="004777B3"/>
    <w:rsid w:val="00477FB2"/>
    <w:rsid w:val="004805E0"/>
    <w:rsid w:val="00481ED9"/>
    <w:rsid w:val="004838CD"/>
    <w:rsid w:val="004909EB"/>
    <w:rsid w:val="00490B76"/>
    <w:rsid w:val="00491BC4"/>
    <w:rsid w:val="004922B2"/>
    <w:rsid w:val="00492625"/>
    <w:rsid w:val="00493DBF"/>
    <w:rsid w:val="00494952"/>
    <w:rsid w:val="00494A31"/>
    <w:rsid w:val="004964BB"/>
    <w:rsid w:val="004966D4"/>
    <w:rsid w:val="004969E6"/>
    <w:rsid w:val="00497446"/>
    <w:rsid w:val="004A0117"/>
    <w:rsid w:val="004A26C0"/>
    <w:rsid w:val="004A378A"/>
    <w:rsid w:val="004A3E67"/>
    <w:rsid w:val="004A41E7"/>
    <w:rsid w:val="004A4711"/>
    <w:rsid w:val="004A4DA2"/>
    <w:rsid w:val="004A6E3E"/>
    <w:rsid w:val="004A740D"/>
    <w:rsid w:val="004A7C5C"/>
    <w:rsid w:val="004B07FE"/>
    <w:rsid w:val="004B2415"/>
    <w:rsid w:val="004B276E"/>
    <w:rsid w:val="004B32F2"/>
    <w:rsid w:val="004B4037"/>
    <w:rsid w:val="004B548B"/>
    <w:rsid w:val="004B580B"/>
    <w:rsid w:val="004B7126"/>
    <w:rsid w:val="004C01C5"/>
    <w:rsid w:val="004C03CE"/>
    <w:rsid w:val="004C0C97"/>
    <w:rsid w:val="004C2A42"/>
    <w:rsid w:val="004C3032"/>
    <w:rsid w:val="004C3DD2"/>
    <w:rsid w:val="004C4DBF"/>
    <w:rsid w:val="004C5E89"/>
    <w:rsid w:val="004C68B4"/>
    <w:rsid w:val="004C6DC5"/>
    <w:rsid w:val="004C7BC4"/>
    <w:rsid w:val="004D101B"/>
    <w:rsid w:val="004D10BA"/>
    <w:rsid w:val="004D2006"/>
    <w:rsid w:val="004D3E89"/>
    <w:rsid w:val="004D43AC"/>
    <w:rsid w:val="004D5F70"/>
    <w:rsid w:val="004E04A8"/>
    <w:rsid w:val="004E08A9"/>
    <w:rsid w:val="004E0E87"/>
    <w:rsid w:val="004E148E"/>
    <w:rsid w:val="004E28C4"/>
    <w:rsid w:val="004E2B25"/>
    <w:rsid w:val="004E39EF"/>
    <w:rsid w:val="004E5284"/>
    <w:rsid w:val="004E55C1"/>
    <w:rsid w:val="004E5C6F"/>
    <w:rsid w:val="004E5F04"/>
    <w:rsid w:val="004F153E"/>
    <w:rsid w:val="004F17E9"/>
    <w:rsid w:val="004F1965"/>
    <w:rsid w:val="004F44B6"/>
    <w:rsid w:val="004F5D82"/>
    <w:rsid w:val="004F5DFA"/>
    <w:rsid w:val="004F6208"/>
    <w:rsid w:val="004F704F"/>
    <w:rsid w:val="004F76D4"/>
    <w:rsid w:val="004F7795"/>
    <w:rsid w:val="00500FEE"/>
    <w:rsid w:val="00501FE3"/>
    <w:rsid w:val="00502770"/>
    <w:rsid w:val="00503316"/>
    <w:rsid w:val="00503A5D"/>
    <w:rsid w:val="00504418"/>
    <w:rsid w:val="005066AF"/>
    <w:rsid w:val="00506E0E"/>
    <w:rsid w:val="00507E6B"/>
    <w:rsid w:val="00510E72"/>
    <w:rsid w:val="00511278"/>
    <w:rsid w:val="00511B38"/>
    <w:rsid w:val="00511CD7"/>
    <w:rsid w:val="00512317"/>
    <w:rsid w:val="00513BF3"/>
    <w:rsid w:val="00514082"/>
    <w:rsid w:val="00514E00"/>
    <w:rsid w:val="00515712"/>
    <w:rsid w:val="00516939"/>
    <w:rsid w:val="00516B06"/>
    <w:rsid w:val="00517729"/>
    <w:rsid w:val="00517F84"/>
    <w:rsid w:val="00521B26"/>
    <w:rsid w:val="005232F3"/>
    <w:rsid w:val="00523474"/>
    <w:rsid w:val="00523E34"/>
    <w:rsid w:val="00523F86"/>
    <w:rsid w:val="005259E6"/>
    <w:rsid w:val="00525E77"/>
    <w:rsid w:val="00525F33"/>
    <w:rsid w:val="005269A0"/>
    <w:rsid w:val="00530719"/>
    <w:rsid w:val="00532310"/>
    <w:rsid w:val="005324DB"/>
    <w:rsid w:val="00532E11"/>
    <w:rsid w:val="005330B8"/>
    <w:rsid w:val="00536205"/>
    <w:rsid w:val="00536B7B"/>
    <w:rsid w:val="00537AC5"/>
    <w:rsid w:val="00537FFB"/>
    <w:rsid w:val="0054069E"/>
    <w:rsid w:val="005412BC"/>
    <w:rsid w:val="00541A27"/>
    <w:rsid w:val="00543882"/>
    <w:rsid w:val="00544374"/>
    <w:rsid w:val="00547A64"/>
    <w:rsid w:val="00550A0A"/>
    <w:rsid w:val="005534F3"/>
    <w:rsid w:val="00555172"/>
    <w:rsid w:val="00555273"/>
    <w:rsid w:val="00556E0B"/>
    <w:rsid w:val="005574C8"/>
    <w:rsid w:val="005606E7"/>
    <w:rsid w:val="00562343"/>
    <w:rsid w:val="00562BFE"/>
    <w:rsid w:val="00563428"/>
    <w:rsid w:val="005658D7"/>
    <w:rsid w:val="00566F36"/>
    <w:rsid w:val="00571659"/>
    <w:rsid w:val="005740E7"/>
    <w:rsid w:val="00574A6E"/>
    <w:rsid w:val="005761CA"/>
    <w:rsid w:val="005763F9"/>
    <w:rsid w:val="0058081B"/>
    <w:rsid w:val="00581A59"/>
    <w:rsid w:val="005826AE"/>
    <w:rsid w:val="00583A7C"/>
    <w:rsid w:val="00583F61"/>
    <w:rsid w:val="005841A7"/>
    <w:rsid w:val="00585332"/>
    <w:rsid w:val="00585BE4"/>
    <w:rsid w:val="00585EDD"/>
    <w:rsid w:val="0058619B"/>
    <w:rsid w:val="0058799E"/>
    <w:rsid w:val="00590B45"/>
    <w:rsid w:val="005923F9"/>
    <w:rsid w:val="00593DEE"/>
    <w:rsid w:val="00595FB7"/>
    <w:rsid w:val="00596CB1"/>
    <w:rsid w:val="005A0526"/>
    <w:rsid w:val="005A206B"/>
    <w:rsid w:val="005A588C"/>
    <w:rsid w:val="005A694C"/>
    <w:rsid w:val="005A6AE0"/>
    <w:rsid w:val="005B02CB"/>
    <w:rsid w:val="005B02EA"/>
    <w:rsid w:val="005B0BEA"/>
    <w:rsid w:val="005B1B5C"/>
    <w:rsid w:val="005B28AE"/>
    <w:rsid w:val="005B3265"/>
    <w:rsid w:val="005B5459"/>
    <w:rsid w:val="005B5CF0"/>
    <w:rsid w:val="005B6E58"/>
    <w:rsid w:val="005B76B8"/>
    <w:rsid w:val="005C177F"/>
    <w:rsid w:val="005C2465"/>
    <w:rsid w:val="005C3B8B"/>
    <w:rsid w:val="005C4237"/>
    <w:rsid w:val="005C6474"/>
    <w:rsid w:val="005D20BE"/>
    <w:rsid w:val="005D2283"/>
    <w:rsid w:val="005D4A7C"/>
    <w:rsid w:val="005D7CAD"/>
    <w:rsid w:val="005E00F6"/>
    <w:rsid w:val="005E05F9"/>
    <w:rsid w:val="005E30D2"/>
    <w:rsid w:val="005E4C5B"/>
    <w:rsid w:val="005E4C86"/>
    <w:rsid w:val="005E5B85"/>
    <w:rsid w:val="005E728C"/>
    <w:rsid w:val="005E7877"/>
    <w:rsid w:val="005F1090"/>
    <w:rsid w:val="005F1F66"/>
    <w:rsid w:val="005F2168"/>
    <w:rsid w:val="005F30FC"/>
    <w:rsid w:val="005F3161"/>
    <w:rsid w:val="005F3853"/>
    <w:rsid w:val="005F483C"/>
    <w:rsid w:val="005F5057"/>
    <w:rsid w:val="005F79EF"/>
    <w:rsid w:val="005F7F83"/>
    <w:rsid w:val="00601475"/>
    <w:rsid w:val="006019B2"/>
    <w:rsid w:val="00601C3A"/>
    <w:rsid w:val="006037FB"/>
    <w:rsid w:val="00604C69"/>
    <w:rsid w:val="00606124"/>
    <w:rsid w:val="00606EA4"/>
    <w:rsid w:val="00610D75"/>
    <w:rsid w:val="00610F89"/>
    <w:rsid w:val="0061218A"/>
    <w:rsid w:val="0061229F"/>
    <w:rsid w:val="00612C58"/>
    <w:rsid w:val="00613393"/>
    <w:rsid w:val="00613EB8"/>
    <w:rsid w:val="00614A48"/>
    <w:rsid w:val="00614C01"/>
    <w:rsid w:val="0061544C"/>
    <w:rsid w:val="00617B83"/>
    <w:rsid w:val="00617BD7"/>
    <w:rsid w:val="00617F87"/>
    <w:rsid w:val="00620C5E"/>
    <w:rsid w:val="00623799"/>
    <w:rsid w:val="006239A1"/>
    <w:rsid w:val="00624DFB"/>
    <w:rsid w:val="00626B9F"/>
    <w:rsid w:val="00627B42"/>
    <w:rsid w:val="00627E6B"/>
    <w:rsid w:val="00630741"/>
    <w:rsid w:val="00631854"/>
    <w:rsid w:val="006319F1"/>
    <w:rsid w:val="00631C71"/>
    <w:rsid w:val="00632466"/>
    <w:rsid w:val="0063361B"/>
    <w:rsid w:val="00633BD7"/>
    <w:rsid w:val="00636B8A"/>
    <w:rsid w:val="00637098"/>
    <w:rsid w:val="00637D95"/>
    <w:rsid w:val="00641E17"/>
    <w:rsid w:val="006425DF"/>
    <w:rsid w:val="0064282B"/>
    <w:rsid w:val="00645ED1"/>
    <w:rsid w:val="0064677F"/>
    <w:rsid w:val="006468E4"/>
    <w:rsid w:val="006472DF"/>
    <w:rsid w:val="0064770E"/>
    <w:rsid w:val="00647756"/>
    <w:rsid w:val="00647E9C"/>
    <w:rsid w:val="0065073C"/>
    <w:rsid w:val="00651015"/>
    <w:rsid w:val="006535CC"/>
    <w:rsid w:val="006537FD"/>
    <w:rsid w:val="006540FA"/>
    <w:rsid w:val="00654D07"/>
    <w:rsid w:val="00656A17"/>
    <w:rsid w:val="006628D4"/>
    <w:rsid w:val="00663556"/>
    <w:rsid w:val="00667200"/>
    <w:rsid w:val="006723F6"/>
    <w:rsid w:val="00673111"/>
    <w:rsid w:val="006735E4"/>
    <w:rsid w:val="00675CF6"/>
    <w:rsid w:val="00675E7E"/>
    <w:rsid w:val="00675FD7"/>
    <w:rsid w:val="00680582"/>
    <w:rsid w:val="00680F18"/>
    <w:rsid w:val="00681A9D"/>
    <w:rsid w:val="00683013"/>
    <w:rsid w:val="006839B8"/>
    <w:rsid w:val="00685EEC"/>
    <w:rsid w:val="00687456"/>
    <w:rsid w:val="0068760D"/>
    <w:rsid w:val="00687D2D"/>
    <w:rsid w:val="006912D9"/>
    <w:rsid w:val="00693BF9"/>
    <w:rsid w:val="00693FDD"/>
    <w:rsid w:val="00694A3F"/>
    <w:rsid w:val="00696669"/>
    <w:rsid w:val="00697EA3"/>
    <w:rsid w:val="006A0340"/>
    <w:rsid w:val="006A04C7"/>
    <w:rsid w:val="006A17A3"/>
    <w:rsid w:val="006A1BDB"/>
    <w:rsid w:val="006A1D83"/>
    <w:rsid w:val="006A2AA0"/>
    <w:rsid w:val="006A3847"/>
    <w:rsid w:val="006A3D4B"/>
    <w:rsid w:val="006A445F"/>
    <w:rsid w:val="006B15B5"/>
    <w:rsid w:val="006B1AAC"/>
    <w:rsid w:val="006B268F"/>
    <w:rsid w:val="006B3D23"/>
    <w:rsid w:val="006B4B76"/>
    <w:rsid w:val="006B51A2"/>
    <w:rsid w:val="006B574D"/>
    <w:rsid w:val="006B589D"/>
    <w:rsid w:val="006B69AB"/>
    <w:rsid w:val="006B6B6D"/>
    <w:rsid w:val="006C05B0"/>
    <w:rsid w:val="006C079D"/>
    <w:rsid w:val="006C25A6"/>
    <w:rsid w:val="006C456D"/>
    <w:rsid w:val="006C52A6"/>
    <w:rsid w:val="006D03C8"/>
    <w:rsid w:val="006D06DB"/>
    <w:rsid w:val="006D0EE3"/>
    <w:rsid w:val="006D13FC"/>
    <w:rsid w:val="006D253C"/>
    <w:rsid w:val="006D3C13"/>
    <w:rsid w:val="006D57EF"/>
    <w:rsid w:val="006D5BAC"/>
    <w:rsid w:val="006D7369"/>
    <w:rsid w:val="006D7D31"/>
    <w:rsid w:val="006D7F08"/>
    <w:rsid w:val="006E0851"/>
    <w:rsid w:val="006E18AF"/>
    <w:rsid w:val="006E1CA0"/>
    <w:rsid w:val="006E3311"/>
    <w:rsid w:val="006E3771"/>
    <w:rsid w:val="006E39FE"/>
    <w:rsid w:val="006E4D32"/>
    <w:rsid w:val="006E6CA7"/>
    <w:rsid w:val="006F0B0E"/>
    <w:rsid w:val="006F10B8"/>
    <w:rsid w:val="006F21C8"/>
    <w:rsid w:val="006F45A1"/>
    <w:rsid w:val="006F4A6F"/>
    <w:rsid w:val="006F64E0"/>
    <w:rsid w:val="006F6716"/>
    <w:rsid w:val="006F6959"/>
    <w:rsid w:val="006F6F62"/>
    <w:rsid w:val="007018DB"/>
    <w:rsid w:val="00702402"/>
    <w:rsid w:val="00702FED"/>
    <w:rsid w:val="00703167"/>
    <w:rsid w:val="00704B43"/>
    <w:rsid w:val="007067EC"/>
    <w:rsid w:val="00710B21"/>
    <w:rsid w:val="00712669"/>
    <w:rsid w:val="00712D90"/>
    <w:rsid w:val="00713284"/>
    <w:rsid w:val="00713304"/>
    <w:rsid w:val="0071569B"/>
    <w:rsid w:val="00715ACB"/>
    <w:rsid w:val="007166C2"/>
    <w:rsid w:val="00716DB3"/>
    <w:rsid w:val="00720306"/>
    <w:rsid w:val="007239BB"/>
    <w:rsid w:val="00724BCE"/>
    <w:rsid w:val="00725F75"/>
    <w:rsid w:val="007266AC"/>
    <w:rsid w:val="00730822"/>
    <w:rsid w:val="00730B12"/>
    <w:rsid w:val="00733220"/>
    <w:rsid w:val="007338C7"/>
    <w:rsid w:val="00734078"/>
    <w:rsid w:val="007355A6"/>
    <w:rsid w:val="007366A5"/>
    <w:rsid w:val="00736C4C"/>
    <w:rsid w:val="0073711F"/>
    <w:rsid w:val="0073762D"/>
    <w:rsid w:val="0073798F"/>
    <w:rsid w:val="00737E92"/>
    <w:rsid w:val="0074191C"/>
    <w:rsid w:val="00742648"/>
    <w:rsid w:val="0074297C"/>
    <w:rsid w:val="007438EF"/>
    <w:rsid w:val="0074434A"/>
    <w:rsid w:val="00745C69"/>
    <w:rsid w:val="00745D67"/>
    <w:rsid w:val="00746E08"/>
    <w:rsid w:val="00747B8E"/>
    <w:rsid w:val="00747F3D"/>
    <w:rsid w:val="00750633"/>
    <w:rsid w:val="00752914"/>
    <w:rsid w:val="00752A1B"/>
    <w:rsid w:val="007534E3"/>
    <w:rsid w:val="007555A6"/>
    <w:rsid w:val="00755896"/>
    <w:rsid w:val="00756B0B"/>
    <w:rsid w:val="00756FBE"/>
    <w:rsid w:val="00757ECE"/>
    <w:rsid w:val="00761F5E"/>
    <w:rsid w:val="0076215A"/>
    <w:rsid w:val="007629C9"/>
    <w:rsid w:val="0076367A"/>
    <w:rsid w:val="00763F81"/>
    <w:rsid w:val="00765B4C"/>
    <w:rsid w:val="007660D5"/>
    <w:rsid w:val="00766D67"/>
    <w:rsid w:val="00767C98"/>
    <w:rsid w:val="0077211E"/>
    <w:rsid w:val="00772F4E"/>
    <w:rsid w:val="00773224"/>
    <w:rsid w:val="00773771"/>
    <w:rsid w:val="007757B5"/>
    <w:rsid w:val="00775B40"/>
    <w:rsid w:val="00776614"/>
    <w:rsid w:val="0078055F"/>
    <w:rsid w:val="00781F79"/>
    <w:rsid w:val="00783999"/>
    <w:rsid w:val="00786E3F"/>
    <w:rsid w:val="007905FF"/>
    <w:rsid w:val="00792A80"/>
    <w:rsid w:val="007934B0"/>
    <w:rsid w:val="00793C82"/>
    <w:rsid w:val="0079402B"/>
    <w:rsid w:val="007966E6"/>
    <w:rsid w:val="007A162F"/>
    <w:rsid w:val="007A18F1"/>
    <w:rsid w:val="007A38CA"/>
    <w:rsid w:val="007A5B65"/>
    <w:rsid w:val="007A754E"/>
    <w:rsid w:val="007B0100"/>
    <w:rsid w:val="007B30EF"/>
    <w:rsid w:val="007B34D6"/>
    <w:rsid w:val="007B39C3"/>
    <w:rsid w:val="007B64CA"/>
    <w:rsid w:val="007B7082"/>
    <w:rsid w:val="007B7C9E"/>
    <w:rsid w:val="007C1D58"/>
    <w:rsid w:val="007C44D8"/>
    <w:rsid w:val="007C4DD3"/>
    <w:rsid w:val="007C55A5"/>
    <w:rsid w:val="007C6436"/>
    <w:rsid w:val="007C6FEA"/>
    <w:rsid w:val="007C7CD6"/>
    <w:rsid w:val="007C7D32"/>
    <w:rsid w:val="007D226D"/>
    <w:rsid w:val="007D238F"/>
    <w:rsid w:val="007D3D99"/>
    <w:rsid w:val="007D3FB4"/>
    <w:rsid w:val="007D4744"/>
    <w:rsid w:val="007D48D9"/>
    <w:rsid w:val="007D5D44"/>
    <w:rsid w:val="007D5E4E"/>
    <w:rsid w:val="007E155A"/>
    <w:rsid w:val="007E29F3"/>
    <w:rsid w:val="007E4C0D"/>
    <w:rsid w:val="007E4DAA"/>
    <w:rsid w:val="007E50AF"/>
    <w:rsid w:val="007F0E59"/>
    <w:rsid w:val="007F3201"/>
    <w:rsid w:val="007F5B19"/>
    <w:rsid w:val="007F5F15"/>
    <w:rsid w:val="007F668D"/>
    <w:rsid w:val="007F69DB"/>
    <w:rsid w:val="007F7511"/>
    <w:rsid w:val="00800700"/>
    <w:rsid w:val="00800C11"/>
    <w:rsid w:val="00801C77"/>
    <w:rsid w:val="008020CA"/>
    <w:rsid w:val="00802D6C"/>
    <w:rsid w:val="008045B0"/>
    <w:rsid w:val="008058DE"/>
    <w:rsid w:val="00805E55"/>
    <w:rsid w:val="0081088F"/>
    <w:rsid w:val="0081156E"/>
    <w:rsid w:val="00812378"/>
    <w:rsid w:val="00812C33"/>
    <w:rsid w:val="00812F76"/>
    <w:rsid w:val="0081340A"/>
    <w:rsid w:val="008138A5"/>
    <w:rsid w:val="0082070D"/>
    <w:rsid w:val="008212B6"/>
    <w:rsid w:val="00821942"/>
    <w:rsid w:val="008224B0"/>
    <w:rsid w:val="008239DA"/>
    <w:rsid w:val="00823A83"/>
    <w:rsid w:val="008246CB"/>
    <w:rsid w:val="00824754"/>
    <w:rsid w:val="00824FEC"/>
    <w:rsid w:val="0082767D"/>
    <w:rsid w:val="00832BBF"/>
    <w:rsid w:val="00833A6B"/>
    <w:rsid w:val="008345AE"/>
    <w:rsid w:val="0083654A"/>
    <w:rsid w:val="008365B6"/>
    <w:rsid w:val="00841616"/>
    <w:rsid w:val="0084168E"/>
    <w:rsid w:val="0084289F"/>
    <w:rsid w:val="008447AB"/>
    <w:rsid w:val="00845142"/>
    <w:rsid w:val="00847A38"/>
    <w:rsid w:val="00847E8D"/>
    <w:rsid w:val="00850210"/>
    <w:rsid w:val="00850A44"/>
    <w:rsid w:val="00850E6D"/>
    <w:rsid w:val="00852073"/>
    <w:rsid w:val="008540B2"/>
    <w:rsid w:val="00854A12"/>
    <w:rsid w:val="00856D71"/>
    <w:rsid w:val="00857220"/>
    <w:rsid w:val="0085736A"/>
    <w:rsid w:val="0086112C"/>
    <w:rsid w:val="00862498"/>
    <w:rsid w:val="00862735"/>
    <w:rsid w:val="00862AB9"/>
    <w:rsid w:val="00862E2A"/>
    <w:rsid w:val="008635AC"/>
    <w:rsid w:val="00863C32"/>
    <w:rsid w:val="0086631A"/>
    <w:rsid w:val="0086778F"/>
    <w:rsid w:val="00870BBC"/>
    <w:rsid w:val="008718CF"/>
    <w:rsid w:val="00871C56"/>
    <w:rsid w:val="00872330"/>
    <w:rsid w:val="00872FA0"/>
    <w:rsid w:val="00873424"/>
    <w:rsid w:val="00873FD5"/>
    <w:rsid w:val="008757F6"/>
    <w:rsid w:val="00876631"/>
    <w:rsid w:val="00877068"/>
    <w:rsid w:val="0087779C"/>
    <w:rsid w:val="00881083"/>
    <w:rsid w:val="00881E6D"/>
    <w:rsid w:val="00882A6B"/>
    <w:rsid w:val="008834AA"/>
    <w:rsid w:val="008836E0"/>
    <w:rsid w:val="00885F02"/>
    <w:rsid w:val="008867DD"/>
    <w:rsid w:val="00894DDC"/>
    <w:rsid w:val="00896BBE"/>
    <w:rsid w:val="00896CB3"/>
    <w:rsid w:val="00896D1A"/>
    <w:rsid w:val="00897892"/>
    <w:rsid w:val="008A0430"/>
    <w:rsid w:val="008A06D0"/>
    <w:rsid w:val="008A2A39"/>
    <w:rsid w:val="008A3187"/>
    <w:rsid w:val="008A473A"/>
    <w:rsid w:val="008A6BB6"/>
    <w:rsid w:val="008A73D3"/>
    <w:rsid w:val="008B112C"/>
    <w:rsid w:val="008B6FD2"/>
    <w:rsid w:val="008C26B3"/>
    <w:rsid w:val="008C2ADF"/>
    <w:rsid w:val="008C32F8"/>
    <w:rsid w:val="008C6B07"/>
    <w:rsid w:val="008C6CDD"/>
    <w:rsid w:val="008C6D46"/>
    <w:rsid w:val="008D1B27"/>
    <w:rsid w:val="008D1CDE"/>
    <w:rsid w:val="008D22DC"/>
    <w:rsid w:val="008D64E4"/>
    <w:rsid w:val="008D6C40"/>
    <w:rsid w:val="008D6D11"/>
    <w:rsid w:val="008D6D95"/>
    <w:rsid w:val="008E02BE"/>
    <w:rsid w:val="008E15B0"/>
    <w:rsid w:val="008E1D86"/>
    <w:rsid w:val="008E37DA"/>
    <w:rsid w:val="008E3F7A"/>
    <w:rsid w:val="008E5BAD"/>
    <w:rsid w:val="008E7A3F"/>
    <w:rsid w:val="008F42AA"/>
    <w:rsid w:val="008F44C8"/>
    <w:rsid w:val="008F57CD"/>
    <w:rsid w:val="008F626A"/>
    <w:rsid w:val="008F7E95"/>
    <w:rsid w:val="00900F37"/>
    <w:rsid w:val="009020D4"/>
    <w:rsid w:val="00902611"/>
    <w:rsid w:val="00902668"/>
    <w:rsid w:val="00903958"/>
    <w:rsid w:val="00903F90"/>
    <w:rsid w:val="009141DF"/>
    <w:rsid w:val="00914ED8"/>
    <w:rsid w:val="00916984"/>
    <w:rsid w:val="00916EFF"/>
    <w:rsid w:val="0091751E"/>
    <w:rsid w:val="0092376C"/>
    <w:rsid w:val="009238EE"/>
    <w:rsid w:val="00923E89"/>
    <w:rsid w:val="0092551F"/>
    <w:rsid w:val="009256CB"/>
    <w:rsid w:val="00925C46"/>
    <w:rsid w:val="009268BB"/>
    <w:rsid w:val="00930D8A"/>
    <w:rsid w:val="009315FE"/>
    <w:rsid w:val="00931F25"/>
    <w:rsid w:val="0093203A"/>
    <w:rsid w:val="00933500"/>
    <w:rsid w:val="00933C85"/>
    <w:rsid w:val="009340EC"/>
    <w:rsid w:val="0093462D"/>
    <w:rsid w:val="009373AF"/>
    <w:rsid w:val="009412FD"/>
    <w:rsid w:val="00942CFB"/>
    <w:rsid w:val="00947BF1"/>
    <w:rsid w:val="00950A4C"/>
    <w:rsid w:val="00951733"/>
    <w:rsid w:val="00954C5F"/>
    <w:rsid w:val="0095509B"/>
    <w:rsid w:val="0095564C"/>
    <w:rsid w:val="00955B58"/>
    <w:rsid w:val="0095621C"/>
    <w:rsid w:val="00960A2C"/>
    <w:rsid w:val="00961A26"/>
    <w:rsid w:val="00961D81"/>
    <w:rsid w:val="00961E2B"/>
    <w:rsid w:val="009622CB"/>
    <w:rsid w:val="0096281A"/>
    <w:rsid w:val="00964343"/>
    <w:rsid w:val="0096435C"/>
    <w:rsid w:val="009667CB"/>
    <w:rsid w:val="00967299"/>
    <w:rsid w:val="00967C77"/>
    <w:rsid w:val="00971DD3"/>
    <w:rsid w:val="00973900"/>
    <w:rsid w:val="009751AD"/>
    <w:rsid w:val="009755D1"/>
    <w:rsid w:val="00976F0C"/>
    <w:rsid w:val="009809D5"/>
    <w:rsid w:val="00980E81"/>
    <w:rsid w:val="009812F5"/>
    <w:rsid w:val="0098299A"/>
    <w:rsid w:val="00983667"/>
    <w:rsid w:val="009866F2"/>
    <w:rsid w:val="0099006A"/>
    <w:rsid w:val="00991537"/>
    <w:rsid w:val="0099190C"/>
    <w:rsid w:val="00992635"/>
    <w:rsid w:val="0099290C"/>
    <w:rsid w:val="00994522"/>
    <w:rsid w:val="0099577B"/>
    <w:rsid w:val="009959D0"/>
    <w:rsid w:val="009A02AF"/>
    <w:rsid w:val="009A06FF"/>
    <w:rsid w:val="009A0761"/>
    <w:rsid w:val="009A31A7"/>
    <w:rsid w:val="009A4209"/>
    <w:rsid w:val="009A4C3A"/>
    <w:rsid w:val="009A591F"/>
    <w:rsid w:val="009A64CD"/>
    <w:rsid w:val="009A79DE"/>
    <w:rsid w:val="009B0B8A"/>
    <w:rsid w:val="009B1160"/>
    <w:rsid w:val="009B1A61"/>
    <w:rsid w:val="009B3E98"/>
    <w:rsid w:val="009B4FB4"/>
    <w:rsid w:val="009B68EA"/>
    <w:rsid w:val="009B6D98"/>
    <w:rsid w:val="009B6F8E"/>
    <w:rsid w:val="009C06CF"/>
    <w:rsid w:val="009C0882"/>
    <w:rsid w:val="009C1651"/>
    <w:rsid w:val="009C1C70"/>
    <w:rsid w:val="009C2F89"/>
    <w:rsid w:val="009C376C"/>
    <w:rsid w:val="009C3F2B"/>
    <w:rsid w:val="009C4F52"/>
    <w:rsid w:val="009C6432"/>
    <w:rsid w:val="009C7814"/>
    <w:rsid w:val="009C7A6B"/>
    <w:rsid w:val="009D1152"/>
    <w:rsid w:val="009D2609"/>
    <w:rsid w:val="009D2664"/>
    <w:rsid w:val="009D2783"/>
    <w:rsid w:val="009D5C7C"/>
    <w:rsid w:val="009D6430"/>
    <w:rsid w:val="009D672A"/>
    <w:rsid w:val="009D73D7"/>
    <w:rsid w:val="009D7CEF"/>
    <w:rsid w:val="009E27B3"/>
    <w:rsid w:val="009E2BD1"/>
    <w:rsid w:val="009E3170"/>
    <w:rsid w:val="009E33C1"/>
    <w:rsid w:val="009E341A"/>
    <w:rsid w:val="009E346A"/>
    <w:rsid w:val="009E3A03"/>
    <w:rsid w:val="009E5BAD"/>
    <w:rsid w:val="009E60CE"/>
    <w:rsid w:val="009E7912"/>
    <w:rsid w:val="009F2E20"/>
    <w:rsid w:val="009F39BC"/>
    <w:rsid w:val="009F471D"/>
    <w:rsid w:val="009F619B"/>
    <w:rsid w:val="009F7422"/>
    <w:rsid w:val="00A00EC0"/>
    <w:rsid w:val="00A03672"/>
    <w:rsid w:val="00A04927"/>
    <w:rsid w:val="00A05CAF"/>
    <w:rsid w:val="00A06363"/>
    <w:rsid w:val="00A0694A"/>
    <w:rsid w:val="00A07851"/>
    <w:rsid w:val="00A102B4"/>
    <w:rsid w:val="00A10E30"/>
    <w:rsid w:val="00A11A0E"/>
    <w:rsid w:val="00A141B4"/>
    <w:rsid w:val="00A1432E"/>
    <w:rsid w:val="00A14ECE"/>
    <w:rsid w:val="00A15AC1"/>
    <w:rsid w:val="00A223A0"/>
    <w:rsid w:val="00A24215"/>
    <w:rsid w:val="00A24B12"/>
    <w:rsid w:val="00A2532E"/>
    <w:rsid w:val="00A254FA"/>
    <w:rsid w:val="00A2797B"/>
    <w:rsid w:val="00A30B08"/>
    <w:rsid w:val="00A31675"/>
    <w:rsid w:val="00A32C6F"/>
    <w:rsid w:val="00A34E60"/>
    <w:rsid w:val="00A356B0"/>
    <w:rsid w:val="00A3777D"/>
    <w:rsid w:val="00A40335"/>
    <w:rsid w:val="00A41D40"/>
    <w:rsid w:val="00A51FBB"/>
    <w:rsid w:val="00A5214A"/>
    <w:rsid w:val="00A54A2D"/>
    <w:rsid w:val="00A566E8"/>
    <w:rsid w:val="00A56FDE"/>
    <w:rsid w:val="00A60605"/>
    <w:rsid w:val="00A61510"/>
    <w:rsid w:val="00A6229C"/>
    <w:rsid w:val="00A63413"/>
    <w:rsid w:val="00A63770"/>
    <w:rsid w:val="00A6578A"/>
    <w:rsid w:val="00A65DFA"/>
    <w:rsid w:val="00A66B6B"/>
    <w:rsid w:val="00A6719D"/>
    <w:rsid w:val="00A70BAB"/>
    <w:rsid w:val="00A7223C"/>
    <w:rsid w:val="00A727CC"/>
    <w:rsid w:val="00A73407"/>
    <w:rsid w:val="00A73498"/>
    <w:rsid w:val="00A73562"/>
    <w:rsid w:val="00A80025"/>
    <w:rsid w:val="00A82CEA"/>
    <w:rsid w:val="00A83A6F"/>
    <w:rsid w:val="00A844EC"/>
    <w:rsid w:val="00A85B10"/>
    <w:rsid w:val="00A871D5"/>
    <w:rsid w:val="00A8725E"/>
    <w:rsid w:val="00A922B1"/>
    <w:rsid w:val="00A929FA"/>
    <w:rsid w:val="00A931C2"/>
    <w:rsid w:val="00A93587"/>
    <w:rsid w:val="00A93DF1"/>
    <w:rsid w:val="00A94506"/>
    <w:rsid w:val="00A95348"/>
    <w:rsid w:val="00A95FBA"/>
    <w:rsid w:val="00A96AE9"/>
    <w:rsid w:val="00A97080"/>
    <w:rsid w:val="00A974C7"/>
    <w:rsid w:val="00A9751B"/>
    <w:rsid w:val="00A97C15"/>
    <w:rsid w:val="00AA107C"/>
    <w:rsid w:val="00AA310C"/>
    <w:rsid w:val="00AA3453"/>
    <w:rsid w:val="00AA3A71"/>
    <w:rsid w:val="00AA7E68"/>
    <w:rsid w:val="00AB0893"/>
    <w:rsid w:val="00AB1168"/>
    <w:rsid w:val="00AB225C"/>
    <w:rsid w:val="00AB4644"/>
    <w:rsid w:val="00AB4DB0"/>
    <w:rsid w:val="00AB6CD1"/>
    <w:rsid w:val="00AB6E40"/>
    <w:rsid w:val="00AC01EC"/>
    <w:rsid w:val="00AC1139"/>
    <w:rsid w:val="00AC35F4"/>
    <w:rsid w:val="00AC513C"/>
    <w:rsid w:val="00AC5953"/>
    <w:rsid w:val="00AD2F18"/>
    <w:rsid w:val="00AD32D3"/>
    <w:rsid w:val="00AD4D96"/>
    <w:rsid w:val="00AD590D"/>
    <w:rsid w:val="00AD5E4D"/>
    <w:rsid w:val="00AD77DC"/>
    <w:rsid w:val="00AE03CF"/>
    <w:rsid w:val="00AE4940"/>
    <w:rsid w:val="00AF0BAF"/>
    <w:rsid w:val="00AF1074"/>
    <w:rsid w:val="00AF2415"/>
    <w:rsid w:val="00AF29A8"/>
    <w:rsid w:val="00AF2B99"/>
    <w:rsid w:val="00AF4040"/>
    <w:rsid w:val="00AF4D73"/>
    <w:rsid w:val="00AF50DA"/>
    <w:rsid w:val="00AF5FD5"/>
    <w:rsid w:val="00AF65E2"/>
    <w:rsid w:val="00B00544"/>
    <w:rsid w:val="00B00F37"/>
    <w:rsid w:val="00B01C6C"/>
    <w:rsid w:val="00B02D6B"/>
    <w:rsid w:val="00B051DC"/>
    <w:rsid w:val="00B05AC6"/>
    <w:rsid w:val="00B07988"/>
    <w:rsid w:val="00B07FA8"/>
    <w:rsid w:val="00B10B99"/>
    <w:rsid w:val="00B129FD"/>
    <w:rsid w:val="00B12C29"/>
    <w:rsid w:val="00B12DD7"/>
    <w:rsid w:val="00B130D5"/>
    <w:rsid w:val="00B14204"/>
    <w:rsid w:val="00B14671"/>
    <w:rsid w:val="00B14C83"/>
    <w:rsid w:val="00B17B3D"/>
    <w:rsid w:val="00B17DC0"/>
    <w:rsid w:val="00B20A5E"/>
    <w:rsid w:val="00B21AE0"/>
    <w:rsid w:val="00B21B0A"/>
    <w:rsid w:val="00B21F97"/>
    <w:rsid w:val="00B2208F"/>
    <w:rsid w:val="00B23EC9"/>
    <w:rsid w:val="00B24966"/>
    <w:rsid w:val="00B2573D"/>
    <w:rsid w:val="00B258E1"/>
    <w:rsid w:val="00B258ED"/>
    <w:rsid w:val="00B31071"/>
    <w:rsid w:val="00B31D86"/>
    <w:rsid w:val="00B33569"/>
    <w:rsid w:val="00B340D7"/>
    <w:rsid w:val="00B34A77"/>
    <w:rsid w:val="00B34AEA"/>
    <w:rsid w:val="00B372E1"/>
    <w:rsid w:val="00B4148F"/>
    <w:rsid w:val="00B42CE0"/>
    <w:rsid w:val="00B4405B"/>
    <w:rsid w:val="00B46B95"/>
    <w:rsid w:val="00B50B38"/>
    <w:rsid w:val="00B54780"/>
    <w:rsid w:val="00B56434"/>
    <w:rsid w:val="00B57C79"/>
    <w:rsid w:val="00B603C3"/>
    <w:rsid w:val="00B60DDD"/>
    <w:rsid w:val="00B6163C"/>
    <w:rsid w:val="00B620E1"/>
    <w:rsid w:val="00B62C51"/>
    <w:rsid w:val="00B63473"/>
    <w:rsid w:val="00B637BA"/>
    <w:rsid w:val="00B6413B"/>
    <w:rsid w:val="00B64C95"/>
    <w:rsid w:val="00B65A5B"/>
    <w:rsid w:val="00B67067"/>
    <w:rsid w:val="00B7192D"/>
    <w:rsid w:val="00B72AE6"/>
    <w:rsid w:val="00B73C95"/>
    <w:rsid w:val="00B74DDC"/>
    <w:rsid w:val="00B75295"/>
    <w:rsid w:val="00B76D51"/>
    <w:rsid w:val="00B82911"/>
    <w:rsid w:val="00B8347C"/>
    <w:rsid w:val="00B8546A"/>
    <w:rsid w:val="00B860F6"/>
    <w:rsid w:val="00B86DC4"/>
    <w:rsid w:val="00B90C33"/>
    <w:rsid w:val="00B90D50"/>
    <w:rsid w:val="00B946AC"/>
    <w:rsid w:val="00B9565D"/>
    <w:rsid w:val="00B957F1"/>
    <w:rsid w:val="00B962FF"/>
    <w:rsid w:val="00B9689B"/>
    <w:rsid w:val="00BA1C2A"/>
    <w:rsid w:val="00BA27D2"/>
    <w:rsid w:val="00BA2B69"/>
    <w:rsid w:val="00BA3072"/>
    <w:rsid w:val="00BA3090"/>
    <w:rsid w:val="00BA3BB3"/>
    <w:rsid w:val="00BA4166"/>
    <w:rsid w:val="00BA483A"/>
    <w:rsid w:val="00BA5195"/>
    <w:rsid w:val="00BA5F68"/>
    <w:rsid w:val="00BA6C15"/>
    <w:rsid w:val="00BA6C5F"/>
    <w:rsid w:val="00BB0378"/>
    <w:rsid w:val="00BB107A"/>
    <w:rsid w:val="00BB3ED0"/>
    <w:rsid w:val="00BB6322"/>
    <w:rsid w:val="00BB69A1"/>
    <w:rsid w:val="00BB73B4"/>
    <w:rsid w:val="00BB792D"/>
    <w:rsid w:val="00BC04B1"/>
    <w:rsid w:val="00BC14CF"/>
    <w:rsid w:val="00BC1608"/>
    <w:rsid w:val="00BC25E3"/>
    <w:rsid w:val="00BC2811"/>
    <w:rsid w:val="00BC4193"/>
    <w:rsid w:val="00BC5620"/>
    <w:rsid w:val="00BC7E21"/>
    <w:rsid w:val="00BD15A9"/>
    <w:rsid w:val="00BD231C"/>
    <w:rsid w:val="00BD2DF0"/>
    <w:rsid w:val="00BD65D5"/>
    <w:rsid w:val="00BE0422"/>
    <w:rsid w:val="00BE1B6F"/>
    <w:rsid w:val="00BE1CB9"/>
    <w:rsid w:val="00BE3ED2"/>
    <w:rsid w:val="00BE4601"/>
    <w:rsid w:val="00BE4FC2"/>
    <w:rsid w:val="00BE5064"/>
    <w:rsid w:val="00BE6352"/>
    <w:rsid w:val="00BE66B6"/>
    <w:rsid w:val="00BE6FA9"/>
    <w:rsid w:val="00BF0271"/>
    <w:rsid w:val="00BF1B0D"/>
    <w:rsid w:val="00BF1E48"/>
    <w:rsid w:val="00BF242E"/>
    <w:rsid w:val="00BF28EB"/>
    <w:rsid w:val="00BF3980"/>
    <w:rsid w:val="00BF442C"/>
    <w:rsid w:val="00BF4CDF"/>
    <w:rsid w:val="00BF5F25"/>
    <w:rsid w:val="00BF6C03"/>
    <w:rsid w:val="00BF7845"/>
    <w:rsid w:val="00C023FE"/>
    <w:rsid w:val="00C0516E"/>
    <w:rsid w:val="00C056C2"/>
    <w:rsid w:val="00C05D77"/>
    <w:rsid w:val="00C07CF6"/>
    <w:rsid w:val="00C108A7"/>
    <w:rsid w:val="00C10A7E"/>
    <w:rsid w:val="00C12EBB"/>
    <w:rsid w:val="00C134F1"/>
    <w:rsid w:val="00C13A2B"/>
    <w:rsid w:val="00C13B99"/>
    <w:rsid w:val="00C14625"/>
    <w:rsid w:val="00C1722A"/>
    <w:rsid w:val="00C1726E"/>
    <w:rsid w:val="00C179D4"/>
    <w:rsid w:val="00C209D7"/>
    <w:rsid w:val="00C212CE"/>
    <w:rsid w:val="00C21F6B"/>
    <w:rsid w:val="00C22452"/>
    <w:rsid w:val="00C2246B"/>
    <w:rsid w:val="00C22677"/>
    <w:rsid w:val="00C265C8"/>
    <w:rsid w:val="00C26637"/>
    <w:rsid w:val="00C26645"/>
    <w:rsid w:val="00C27155"/>
    <w:rsid w:val="00C27393"/>
    <w:rsid w:val="00C27415"/>
    <w:rsid w:val="00C27D6E"/>
    <w:rsid w:val="00C3176D"/>
    <w:rsid w:val="00C317EF"/>
    <w:rsid w:val="00C32882"/>
    <w:rsid w:val="00C33AA2"/>
    <w:rsid w:val="00C34136"/>
    <w:rsid w:val="00C3529C"/>
    <w:rsid w:val="00C36045"/>
    <w:rsid w:val="00C36D3B"/>
    <w:rsid w:val="00C371FA"/>
    <w:rsid w:val="00C41BED"/>
    <w:rsid w:val="00C42828"/>
    <w:rsid w:val="00C4345B"/>
    <w:rsid w:val="00C50A48"/>
    <w:rsid w:val="00C55835"/>
    <w:rsid w:val="00C55BF5"/>
    <w:rsid w:val="00C60786"/>
    <w:rsid w:val="00C6349B"/>
    <w:rsid w:val="00C6383B"/>
    <w:rsid w:val="00C647B4"/>
    <w:rsid w:val="00C6576D"/>
    <w:rsid w:val="00C65907"/>
    <w:rsid w:val="00C660B7"/>
    <w:rsid w:val="00C66BAB"/>
    <w:rsid w:val="00C71512"/>
    <w:rsid w:val="00C72809"/>
    <w:rsid w:val="00C72F34"/>
    <w:rsid w:val="00C73693"/>
    <w:rsid w:val="00C73B81"/>
    <w:rsid w:val="00C7445E"/>
    <w:rsid w:val="00C7519C"/>
    <w:rsid w:val="00C75C2C"/>
    <w:rsid w:val="00C75CF0"/>
    <w:rsid w:val="00C7606D"/>
    <w:rsid w:val="00C76347"/>
    <w:rsid w:val="00C76A5F"/>
    <w:rsid w:val="00C772A7"/>
    <w:rsid w:val="00C81766"/>
    <w:rsid w:val="00C829E1"/>
    <w:rsid w:val="00C841A4"/>
    <w:rsid w:val="00C841B8"/>
    <w:rsid w:val="00C84D2F"/>
    <w:rsid w:val="00C84FC5"/>
    <w:rsid w:val="00C86828"/>
    <w:rsid w:val="00C86A61"/>
    <w:rsid w:val="00C90777"/>
    <w:rsid w:val="00C908FC"/>
    <w:rsid w:val="00C91680"/>
    <w:rsid w:val="00C96292"/>
    <w:rsid w:val="00CA1DDD"/>
    <w:rsid w:val="00CA1EC0"/>
    <w:rsid w:val="00CA419E"/>
    <w:rsid w:val="00CA4C03"/>
    <w:rsid w:val="00CA5678"/>
    <w:rsid w:val="00CA5ED9"/>
    <w:rsid w:val="00CA65E1"/>
    <w:rsid w:val="00CA7525"/>
    <w:rsid w:val="00CB16B9"/>
    <w:rsid w:val="00CB1D2E"/>
    <w:rsid w:val="00CB214D"/>
    <w:rsid w:val="00CB2EB4"/>
    <w:rsid w:val="00CB4130"/>
    <w:rsid w:val="00CB4845"/>
    <w:rsid w:val="00CC1706"/>
    <w:rsid w:val="00CC194A"/>
    <w:rsid w:val="00CC1BB2"/>
    <w:rsid w:val="00CC2068"/>
    <w:rsid w:val="00CC22FC"/>
    <w:rsid w:val="00CC3CBA"/>
    <w:rsid w:val="00CD113D"/>
    <w:rsid w:val="00CD1393"/>
    <w:rsid w:val="00CD2313"/>
    <w:rsid w:val="00CD39D1"/>
    <w:rsid w:val="00CD47B9"/>
    <w:rsid w:val="00CD50EC"/>
    <w:rsid w:val="00CE1BC1"/>
    <w:rsid w:val="00CE2FE3"/>
    <w:rsid w:val="00CE521B"/>
    <w:rsid w:val="00CE6FB8"/>
    <w:rsid w:val="00CE72B2"/>
    <w:rsid w:val="00CE77A1"/>
    <w:rsid w:val="00CE7B58"/>
    <w:rsid w:val="00CF04A6"/>
    <w:rsid w:val="00CF078E"/>
    <w:rsid w:val="00CF090C"/>
    <w:rsid w:val="00CF09F6"/>
    <w:rsid w:val="00CF0B95"/>
    <w:rsid w:val="00CF1939"/>
    <w:rsid w:val="00CF2893"/>
    <w:rsid w:val="00CF2B5B"/>
    <w:rsid w:val="00CF4EB7"/>
    <w:rsid w:val="00CF64E4"/>
    <w:rsid w:val="00CF6ACC"/>
    <w:rsid w:val="00D01027"/>
    <w:rsid w:val="00D02543"/>
    <w:rsid w:val="00D028A0"/>
    <w:rsid w:val="00D03512"/>
    <w:rsid w:val="00D048C1"/>
    <w:rsid w:val="00D04BFD"/>
    <w:rsid w:val="00D052BC"/>
    <w:rsid w:val="00D0548E"/>
    <w:rsid w:val="00D0621C"/>
    <w:rsid w:val="00D0673A"/>
    <w:rsid w:val="00D068D5"/>
    <w:rsid w:val="00D06C59"/>
    <w:rsid w:val="00D11A0B"/>
    <w:rsid w:val="00D11DFB"/>
    <w:rsid w:val="00D12C52"/>
    <w:rsid w:val="00D153C3"/>
    <w:rsid w:val="00D17E75"/>
    <w:rsid w:val="00D209CA"/>
    <w:rsid w:val="00D22259"/>
    <w:rsid w:val="00D231AC"/>
    <w:rsid w:val="00D23571"/>
    <w:rsid w:val="00D2414C"/>
    <w:rsid w:val="00D2414E"/>
    <w:rsid w:val="00D24D41"/>
    <w:rsid w:val="00D26123"/>
    <w:rsid w:val="00D26B90"/>
    <w:rsid w:val="00D305B4"/>
    <w:rsid w:val="00D34897"/>
    <w:rsid w:val="00D35A56"/>
    <w:rsid w:val="00D36345"/>
    <w:rsid w:val="00D36A94"/>
    <w:rsid w:val="00D3711F"/>
    <w:rsid w:val="00D37405"/>
    <w:rsid w:val="00D4057C"/>
    <w:rsid w:val="00D41F67"/>
    <w:rsid w:val="00D426D3"/>
    <w:rsid w:val="00D43115"/>
    <w:rsid w:val="00D448AC"/>
    <w:rsid w:val="00D44C96"/>
    <w:rsid w:val="00D44E30"/>
    <w:rsid w:val="00D45716"/>
    <w:rsid w:val="00D50E20"/>
    <w:rsid w:val="00D517F6"/>
    <w:rsid w:val="00D52372"/>
    <w:rsid w:val="00D52C34"/>
    <w:rsid w:val="00D52E30"/>
    <w:rsid w:val="00D52FBB"/>
    <w:rsid w:val="00D539F9"/>
    <w:rsid w:val="00D53C79"/>
    <w:rsid w:val="00D542B4"/>
    <w:rsid w:val="00D544C4"/>
    <w:rsid w:val="00D54C38"/>
    <w:rsid w:val="00D54DBA"/>
    <w:rsid w:val="00D551FA"/>
    <w:rsid w:val="00D578EA"/>
    <w:rsid w:val="00D57B85"/>
    <w:rsid w:val="00D60013"/>
    <w:rsid w:val="00D604FC"/>
    <w:rsid w:val="00D616DA"/>
    <w:rsid w:val="00D62352"/>
    <w:rsid w:val="00D627E4"/>
    <w:rsid w:val="00D63415"/>
    <w:rsid w:val="00D6687F"/>
    <w:rsid w:val="00D66B77"/>
    <w:rsid w:val="00D67AA5"/>
    <w:rsid w:val="00D7000B"/>
    <w:rsid w:val="00D70CBE"/>
    <w:rsid w:val="00D718AC"/>
    <w:rsid w:val="00D73180"/>
    <w:rsid w:val="00D73D44"/>
    <w:rsid w:val="00D7416B"/>
    <w:rsid w:val="00D752F9"/>
    <w:rsid w:val="00D75353"/>
    <w:rsid w:val="00D7607F"/>
    <w:rsid w:val="00D76D25"/>
    <w:rsid w:val="00D770E5"/>
    <w:rsid w:val="00D8146C"/>
    <w:rsid w:val="00D81D27"/>
    <w:rsid w:val="00D83EDA"/>
    <w:rsid w:val="00D83F4A"/>
    <w:rsid w:val="00D85B9F"/>
    <w:rsid w:val="00D86A56"/>
    <w:rsid w:val="00D963A8"/>
    <w:rsid w:val="00DA0A99"/>
    <w:rsid w:val="00DA29EC"/>
    <w:rsid w:val="00DA3025"/>
    <w:rsid w:val="00DA39D9"/>
    <w:rsid w:val="00DA6915"/>
    <w:rsid w:val="00DA6B41"/>
    <w:rsid w:val="00DA7CF3"/>
    <w:rsid w:val="00DB094D"/>
    <w:rsid w:val="00DB0BFB"/>
    <w:rsid w:val="00DB3985"/>
    <w:rsid w:val="00DB4BD9"/>
    <w:rsid w:val="00DB6AEA"/>
    <w:rsid w:val="00DC1174"/>
    <w:rsid w:val="00DC2E79"/>
    <w:rsid w:val="00DC7037"/>
    <w:rsid w:val="00DC7955"/>
    <w:rsid w:val="00DD0E40"/>
    <w:rsid w:val="00DD0F57"/>
    <w:rsid w:val="00DD10EC"/>
    <w:rsid w:val="00DD3155"/>
    <w:rsid w:val="00DD487C"/>
    <w:rsid w:val="00DD4941"/>
    <w:rsid w:val="00DD56F9"/>
    <w:rsid w:val="00DE116A"/>
    <w:rsid w:val="00DE196B"/>
    <w:rsid w:val="00DE5F31"/>
    <w:rsid w:val="00DE6FA6"/>
    <w:rsid w:val="00DE7864"/>
    <w:rsid w:val="00DF094C"/>
    <w:rsid w:val="00DF47D7"/>
    <w:rsid w:val="00DF516E"/>
    <w:rsid w:val="00DF5A3E"/>
    <w:rsid w:val="00DF5DE9"/>
    <w:rsid w:val="00E015D6"/>
    <w:rsid w:val="00E01DCA"/>
    <w:rsid w:val="00E03026"/>
    <w:rsid w:val="00E03778"/>
    <w:rsid w:val="00E0461C"/>
    <w:rsid w:val="00E05EE3"/>
    <w:rsid w:val="00E063C7"/>
    <w:rsid w:val="00E113CA"/>
    <w:rsid w:val="00E117DF"/>
    <w:rsid w:val="00E12AA2"/>
    <w:rsid w:val="00E13C4E"/>
    <w:rsid w:val="00E13D70"/>
    <w:rsid w:val="00E1477E"/>
    <w:rsid w:val="00E14A57"/>
    <w:rsid w:val="00E1566C"/>
    <w:rsid w:val="00E17849"/>
    <w:rsid w:val="00E21445"/>
    <w:rsid w:val="00E21F46"/>
    <w:rsid w:val="00E22978"/>
    <w:rsid w:val="00E237F4"/>
    <w:rsid w:val="00E24CDB"/>
    <w:rsid w:val="00E255EA"/>
    <w:rsid w:val="00E27D22"/>
    <w:rsid w:val="00E32522"/>
    <w:rsid w:val="00E34A5D"/>
    <w:rsid w:val="00E35041"/>
    <w:rsid w:val="00E357C2"/>
    <w:rsid w:val="00E3626D"/>
    <w:rsid w:val="00E36682"/>
    <w:rsid w:val="00E40DAE"/>
    <w:rsid w:val="00E459B9"/>
    <w:rsid w:val="00E4606F"/>
    <w:rsid w:val="00E501FC"/>
    <w:rsid w:val="00E5077B"/>
    <w:rsid w:val="00E50E2C"/>
    <w:rsid w:val="00E50FAB"/>
    <w:rsid w:val="00E51501"/>
    <w:rsid w:val="00E522E6"/>
    <w:rsid w:val="00E54B72"/>
    <w:rsid w:val="00E54B96"/>
    <w:rsid w:val="00E56CE0"/>
    <w:rsid w:val="00E56D7D"/>
    <w:rsid w:val="00E613EC"/>
    <w:rsid w:val="00E61961"/>
    <w:rsid w:val="00E62C8D"/>
    <w:rsid w:val="00E6524C"/>
    <w:rsid w:val="00E66088"/>
    <w:rsid w:val="00E660D0"/>
    <w:rsid w:val="00E66120"/>
    <w:rsid w:val="00E66315"/>
    <w:rsid w:val="00E673B4"/>
    <w:rsid w:val="00E75862"/>
    <w:rsid w:val="00E7604E"/>
    <w:rsid w:val="00E76ABE"/>
    <w:rsid w:val="00E76B25"/>
    <w:rsid w:val="00E80DFF"/>
    <w:rsid w:val="00E83BDF"/>
    <w:rsid w:val="00E844D7"/>
    <w:rsid w:val="00E84DC3"/>
    <w:rsid w:val="00E85916"/>
    <w:rsid w:val="00E86F5A"/>
    <w:rsid w:val="00E90039"/>
    <w:rsid w:val="00E90371"/>
    <w:rsid w:val="00E92831"/>
    <w:rsid w:val="00E9386C"/>
    <w:rsid w:val="00E94AB9"/>
    <w:rsid w:val="00E94DF9"/>
    <w:rsid w:val="00E95E67"/>
    <w:rsid w:val="00E97884"/>
    <w:rsid w:val="00EA0278"/>
    <w:rsid w:val="00EA0C12"/>
    <w:rsid w:val="00EA128A"/>
    <w:rsid w:val="00EA4343"/>
    <w:rsid w:val="00EA4E9A"/>
    <w:rsid w:val="00EA54C4"/>
    <w:rsid w:val="00EA5674"/>
    <w:rsid w:val="00EA6BC9"/>
    <w:rsid w:val="00EA7E27"/>
    <w:rsid w:val="00EB19A4"/>
    <w:rsid w:val="00EC1161"/>
    <w:rsid w:val="00EC2E48"/>
    <w:rsid w:val="00EC2E9A"/>
    <w:rsid w:val="00EC3FEE"/>
    <w:rsid w:val="00ED04A4"/>
    <w:rsid w:val="00ED1023"/>
    <w:rsid w:val="00ED195D"/>
    <w:rsid w:val="00ED2B9A"/>
    <w:rsid w:val="00ED2EE4"/>
    <w:rsid w:val="00ED38B6"/>
    <w:rsid w:val="00ED3940"/>
    <w:rsid w:val="00ED40D1"/>
    <w:rsid w:val="00ED5031"/>
    <w:rsid w:val="00ED676D"/>
    <w:rsid w:val="00ED68D3"/>
    <w:rsid w:val="00EE1F69"/>
    <w:rsid w:val="00EE2A5F"/>
    <w:rsid w:val="00EE4037"/>
    <w:rsid w:val="00EE6861"/>
    <w:rsid w:val="00EE7AE1"/>
    <w:rsid w:val="00EE7B85"/>
    <w:rsid w:val="00EF0266"/>
    <w:rsid w:val="00EF0DCD"/>
    <w:rsid w:val="00EF0E5E"/>
    <w:rsid w:val="00EF4926"/>
    <w:rsid w:val="00EF4C03"/>
    <w:rsid w:val="00EF5F86"/>
    <w:rsid w:val="00EF6D48"/>
    <w:rsid w:val="00EF71F8"/>
    <w:rsid w:val="00EF7A19"/>
    <w:rsid w:val="00F03267"/>
    <w:rsid w:val="00F038EC"/>
    <w:rsid w:val="00F04E93"/>
    <w:rsid w:val="00F05A94"/>
    <w:rsid w:val="00F0678F"/>
    <w:rsid w:val="00F07E50"/>
    <w:rsid w:val="00F1111F"/>
    <w:rsid w:val="00F11790"/>
    <w:rsid w:val="00F13AF5"/>
    <w:rsid w:val="00F155F8"/>
    <w:rsid w:val="00F1609F"/>
    <w:rsid w:val="00F1687C"/>
    <w:rsid w:val="00F16959"/>
    <w:rsid w:val="00F16A3C"/>
    <w:rsid w:val="00F17A1F"/>
    <w:rsid w:val="00F20163"/>
    <w:rsid w:val="00F209B9"/>
    <w:rsid w:val="00F22A6B"/>
    <w:rsid w:val="00F24230"/>
    <w:rsid w:val="00F25952"/>
    <w:rsid w:val="00F26E50"/>
    <w:rsid w:val="00F27887"/>
    <w:rsid w:val="00F30020"/>
    <w:rsid w:val="00F30F90"/>
    <w:rsid w:val="00F3107A"/>
    <w:rsid w:val="00F33D6F"/>
    <w:rsid w:val="00F346B3"/>
    <w:rsid w:val="00F3509F"/>
    <w:rsid w:val="00F352A9"/>
    <w:rsid w:val="00F36508"/>
    <w:rsid w:val="00F367AB"/>
    <w:rsid w:val="00F3693C"/>
    <w:rsid w:val="00F411A9"/>
    <w:rsid w:val="00F41557"/>
    <w:rsid w:val="00F4176E"/>
    <w:rsid w:val="00F417F0"/>
    <w:rsid w:val="00F47F92"/>
    <w:rsid w:val="00F518BE"/>
    <w:rsid w:val="00F54448"/>
    <w:rsid w:val="00F54AAF"/>
    <w:rsid w:val="00F553F9"/>
    <w:rsid w:val="00F56251"/>
    <w:rsid w:val="00F56989"/>
    <w:rsid w:val="00F57D07"/>
    <w:rsid w:val="00F61B3F"/>
    <w:rsid w:val="00F6316E"/>
    <w:rsid w:val="00F64898"/>
    <w:rsid w:val="00F64C97"/>
    <w:rsid w:val="00F65356"/>
    <w:rsid w:val="00F65DF6"/>
    <w:rsid w:val="00F663BB"/>
    <w:rsid w:val="00F67574"/>
    <w:rsid w:val="00F67992"/>
    <w:rsid w:val="00F67DAD"/>
    <w:rsid w:val="00F70944"/>
    <w:rsid w:val="00F7303B"/>
    <w:rsid w:val="00F7374F"/>
    <w:rsid w:val="00F7521D"/>
    <w:rsid w:val="00F76D8C"/>
    <w:rsid w:val="00F773BC"/>
    <w:rsid w:val="00F803DD"/>
    <w:rsid w:val="00F8120E"/>
    <w:rsid w:val="00F8180D"/>
    <w:rsid w:val="00F81A1F"/>
    <w:rsid w:val="00F81F70"/>
    <w:rsid w:val="00F8226D"/>
    <w:rsid w:val="00F83501"/>
    <w:rsid w:val="00F847B7"/>
    <w:rsid w:val="00F86EAF"/>
    <w:rsid w:val="00F87824"/>
    <w:rsid w:val="00F87BEF"/>
    <w:rsid w:val="00F90964"/>
    <w:rsid w:val="00F914FA"/>
    <w:rsid w:val="00F939CD"/>
    <w:rsid w:val="00F95DF7"/>
    <w:rsid w:val="00F95FF0"/>
    <w:rsid w:val="00F965D4"/>
    <w:rsid w:val="00F97B0F"/>
    <w:rsid w:val="00FA0F64"/>
    <w:rsid w:val="00FA0FA7"/>
    <w:rsid w:val="00FA1A41"/>
    <w:rsid w:val="00FA4EEF"/>
    <w:rsid w:val="00FA6D2F"/>
    <w:rsid w:val="00FB06F4"/>
    <w:rsid w:val="00FB3077"/>
    <w:rsid w:val="00FB375B"/>
    <w:rsid w:val="00FB6505"/>
    <w:rsid w:val="00FB6593"/>
    <w:rsid w:val="00FB6FFD"/>
    <w:rsid w:val="00FB7385"/>
    <w:rsid w:val="00FB747D"/>
    <w:rsid w:val="00FC1092"/>
    <w:rsid w:val="00FC190A"/>
    <w:rsid w:val="00FC5EF6"/>
    <w:rsid w:val="00FC6F78"/>
    <w:rsid w:val="00FC7B00"/>
    <w:rsid w:val="00FD0711"/>
    <w:rsid w:val="00FD0929"/>
    <w:rsid w:val="00FD14B2"/>
    <w:rsid w:val="00FD1BE2"/>
    <w:rsid w:val="00FD1ECF"/>
    <w:rsid w:val="00FD3DED"/>
    <w:rsid w:val="00FD6CE4"/>
    <w:rsid w:val="00FD76DC"/>
    <w:rsid w:val="00FD7892"/>
    <w:rsid w:val="00FD7E66"/>
    <w:rsid w:val="00FE0D0C"/>
    <w:rsid w:val="00FE114D"/>
    <w:rsid w:val="00FE1A1B"/>
    <w:rsid w:val="00FE2965"/>
    <w:rsid w:val="00FE2CC1"/>
    <w:rsid w:val="00FE4FF4"/>
    <w:rsid w:val="00FE54A3"/>
    <w:rsid w:val="00FE69C6"/>
    <w:rsid w:val="00FE7160"/>
    <w:rsid w:val="00FE7AA6"/>
    <w:rsid w:val="00FF0B12"/>
    <w:rsid w:val="00FF1C80"/>
    <w:rsid w:val="00FF2931"/>
    <w:rsid w:val="00FF2DDE"/>
    <w:rsid w:val="00FF44A6"/>
    <w:rsid w:val="00FF44D9"/>
    <w:rsid w:val="00FF72C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6145"/>
    <o:shapelayout v:ext="edit">
      <o:idmap v:ext="edit" data="1"/>
    </o:shapelayout>
  </w:shapeDefaults>
  <w:decimalSymbol w:val="."/>
  <w:listSeparator w:val=","/>
  <w14:docId w14:val="2D0484BD"/>
  <w15:docId w15:val="{476B81B2-8207-EE45-9C62-A04231E279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1544C"/>
    <w:pPr>
      <w:snapToGrid w:val="0"/>
      <w:spacing w:after="360" w:line="300" w:lineRule="auto"/>
      <w:ind w:left="142" w:right="136"/>
      <w:jc w:val="both"/>
    </w:pPr>
    <w:rPr>
      <w:rFonts w:ascii="Montserrat Light" w:hAnsi="Montserrat Light" w:cs="Arial"/>
      <w:color w:val="000000" w:themeColor="text1"/>
      <w:lang w:val="en-GB"/>
    </w:rPr>
  </w:style>
  <w:style w:type="paragraph" w:styleId="Heading1">
    <w:name w:val="heading 1"/>
    <w:basedOn w:val="Normal"/>
    <w:next w:val="Normal"/>
    <w:link w:val="Heading1Char"/>
    <w:uiPriority w:val="9"/>
    <w:rsid w:val="00610F89"/>
    <w:pPr>
      <w:keepNext/>
      <w:keepLines/>
      <w:spacing w:before="240" w:after="0"/>
      <w:ind w:right="135"/>
      <w:outlineLvl w:val="0"/>
    </w:pPr>
    <w:rPr>
      <w:rFonts w:asciiTheme="majorHAnsi" w:eastAsiaTheme="majorEastAsia" w:hAnsiTheme="majorHAnsi" w:cstheme="majorBidi"/>
      <w:b/>
      <w:color w:val="2F5496" w:themeColor="accent1" w:themeShade="BF"/>
      <w:sz w:val="28"/>
      <w:szCs w:val="32"/>
    </w:rPr>
  </w:style>
  <w:style w:type="paragraph" w:styleId="Heading2">
    <w:name w:val="heading 2"/>
    <w:next w:val="Normal"/>
    <w:link w:val="Heading2Char"/>
    <w:uiPriority w:val="9"/>
    <w:unhideWhenUsed/>
    <w:qFormat/>
    <w:rsid w:val="004966D4"/>
    <w:pPr>
      <w:pBdr>
        <w:right w:val="single" w:sz="24" w:space="4" w:color="52E5BA"/>
      </w:pBdr>
      <w:shd w:val="clear" w:color="auto" w:fill="202124"/>
      <w:snapToGrid w:val="0"/>
      <w:spacing w:before="160" w:after="360" w:line="264" w:lineRule="auto"/>
      <w:ind w:left="142" w:right="136"/>
      <w:outlineLvl w:val="1"/>
    </w:pPr>
    <w:rPr>
      <w:rFonts w:ascii="Montserrat" w:eastAsia="Arial" w:hAnsi="Montserrat" w:cs="Arial"/>
      <w:b/>
      <w:bCs/>
      <w:caps/>
      <w:color w:val="FFFFFF" w:themeColor="background1"/>
      <w:position w:val="-12"/>
      <w:sz w:val="36"/>
      <w:szCs w:val="36"/>
      <w:lang w:val="en-GB"/>
    </w:rPr>
  </w:style>
  <w:style w:type="paragraph" w:styleId="Heading3">
    <w:name w:val="heading 3"/>
    <w:basedOn w:val="NoSpacing"/>
    <w:next w:val="Normal"/>
    <w:link w:val="Heading3Char"/>
    <w:uiPriority w:val="9"/>
    <w:unhideWhenUsed/>
    <w:qFormat/>
    <w:rsid w:val="00491BC4"/>
    <w:pPr>
      <w:pBdr>
        <w:bottom w:val="single" w:sz="24" w:space="5" w:color="52E5BA"/>
      </w:pBdr>
      <w:snapToGrid w:val="0"/>
      <w:spacing w:before="320" w:after="180"/>
      <w:ind w:left="142" w:right="136"/>
      <w:outlineLvl w:val="2"/>
    </w:pPr>
    <w:rPr>
      <w:rFonts w:ascii="Montserrat Semi" w:hAnsi="Montserrat Semi"/>
      <w:b/>
      <w:bCs/>
      <w:color w:val="202124"/>
    </w:rPr>
  </w:style>
  <w:style w:type="paragraph" w:styleId="Heading4">
    <w:name w:val="heading 4"/>
    <w:basedOn w:val="Normal"/>
    <w:next w:val="Normal"/>
    <w:link w:val="Heading4Char"/>
    <w:uiPriority w:val="9"/>
    <w:unhideWhenUsed/>
    <w:qFormat/>
    <w:rsid w:val="000331AB"/>
    <w:pPr>
      <w:keepNext/>
      <w:keepLines/>
      <w:pBdr>
        <w:left w:val="single" w:sz="24" w:space="4" w:color="52E6BA"/>
      </w:pBdr>
      <w:spacing w:before="40" w:after="0"/>
      <w:outlineLvl w:val="3"/>
    </w:pPr>
    <w:rPr>
      <w:rFonts w:ascii="Montserrat" w:eastAsiaTheme="majorEastAsia" w:hAnsi="Montserrat" w:cs="Times New Roman (Headings CS)"/>
      <w:b/>
      <w:bCs/>
      <w:caps/>
      <w:color w:val="262626" w:themeColor="text1" w:themeTint="D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610F89"/>
    <w:rPr>
      <w:rFonts w:asciiTheme="majorHAnsi" w:eastAsiaTheme="majorEastAsia" w:hAnsiTheme="majorHAnsi" w:cstheme="majorBidi"/>
      <w:b/>
      <w:color w:val="2F5496" w:themeColor="accent1" w:themeShade="BF"/>
      <w:sz w:val="28"/>
      <w:szCs w:val="32"/>
      <w:lang w:val="en-GB"/>
    </w:rPr>
  </w:style>
  <w:style w:type="character" w:customStyle="1" w:styleId="Heading2Char">
    <w:name w:val="Heading 2 Char"/>
    <w:basedOn w:val="DefaultParagraphFont"/>
    <w:link w:val="Heading2"/>
    <w:uiPriority w:val="9"/>
    <w:rsid w:val="004966D4"/>
    <w:rPr>
      <w:rFonts w:ascii="Montserrat" w:eastAsia="Arial" w:hAnsi="Montserrat" w:cs="Arial"/>
      <w:b/>
      <w:bCs/>
      <w:caps/>
      <w:color w:val="FFFFFF" w:themeColor="background1"/>
      <w:position w:val="-12"/>
      <w:sz w:val="36"/>
      <w:szCs w:val="36"/>
      <w:shd w:val="clear" w:color="auto" w:fill="202124"/>
      <w:lang w:val="en-GB"/>
    </w:rPr>
  </w:style>
  <w:style w:type="paragraph" w:styleId="NoSpacing">
    <w:name w:val="No Spacing"/>
    <w:uiPriority w:val="1"/>
    <w:rsid w:val="007C7CD6"/>
    <w:rPr>
      <w:sz w:val="22"/>
      <w:szCs w:val="22"/>
    </w:rPr>
  </w:style>
  <w:style w:type="character" w:styleId="Hyperlink">
    <w:name w:val="Hyperlink"/>
    <w:basedOn w:val="DefaultParagraphFont"/>
    <w:uiPriority w:val="99"/>
    <w:unhideWhenUsed/>
    <w:rsid w:val="008239DA"/>
    <w:rPr>
      <w:rFonts w:ascii="Montserrat Medium" w:hAnsi="Montserrat Medium"/>
      <w:b w:val="0"/>
      <w:i w:val="0"/>
      <w:color w:val="FF8A00"/>
      <w:u w:val="single"/>
      <w:bdr w:val="none" w:sz="0" w:space="0" w:color="auto"/>
      <w:shd w:val="clear" w:color="auto" w:fill="auto"/>
    </w:rPr>
  </w:style>
  <w:style w:type="character" w:styleId="FootnoteReference">
    <w:name w:val="footnote reference"/>
    <w:basedOn w:val="DefaultParagraphFont"/>
    <w:uiPriority w:val="99"/>
    <w:unhideWhenUsed/>
    <w:rsid w:val="007C7CD6"/>
    <w:rPr>
      <w:vertAlign w:val="superscript"/>
    </w:rPr>
  </w:style>
  <w:style w:type="character" w:customStyle="1" w:styleId="FootnoteTextChar">
    <w:name w:val="Footnote Text Char"/>
    <w:basedOn w:val="DefaultParagraphFont"/>
    <w:link w:val="FootnoteText"/>
    <w:uiPriority w:val="99"/>
    <w:rsid w:val="007C7CD6"/>
    <w:rPr>
      <w:sz w:val="20"/>
      <w:szCs w:val="20"/>
    </w:rPr>
  </w:style>
  <w:style w:type="paragraph" w:styleId="FootnoteText">
    <w:name w:val="footnote text"/>
    <w:basedOn w:val="Normal"/>
    <w:link w:val="FootnoteTextChar"/>
    <w:uiPriority w:val="99"/>
    <w:unhideWhenUsed/>
    <w:rsid w:val="007C7CD6"/>
    <w:pPr>
      <w:spacing w:after="0" w:line="240" w:lineRule="auto"/>
    </w:pPr>
    <w:rPr>
      <w:sz w:val="20"/>
      <w:szCs w:val="20"/>
    </w:rPr>
  </w:style>
  <w:style w:type="character" w:customStyle="1" w:styleId="FootnoteTextChar1">
    <w:name w:val="Footnote Text Char1"/>
    <w:basedOn w:val="DefaultParagraphFont"/>
    <w:uiPriority w:val="99"/>
    <w:semiHidden/>
    <w:rsid w:val="007C7CD6"/>
    <w:rPr>
      <w:sz w:val="20"/>
      <w:szCs w:val="20"/>
    </w:rPr>
  </w:style>
  <w:style w:type="character" w:styleId="CommentReference">
    <w:name w:val="annotation reference"/>
    <w:basedOn w:val="DefaultParagraphFont"/>
    <w:uiPriority w:val="99"/>
    <w:semiHidden/>
    <w:unhideWhenUsed/>
    <w:rsid w:val="00633BD7"/>
    <w:rPr>
      <w:sz w:val="16"/>
      <w:szCs w:val="16"/>
    </w:rPr>
  </w:style>
  <w:style w:type="paragraph" w:styleId="CommentText">
    <w:name w:val="annotation text"/>
    <w:basedOn w:val="Normal"/>
    <w:link w:val="CommentTextChar"/>
    <w:uiPriority w:val="99"/>
    <w:unhideWhenUsed/>
    <w:rsid w:val="00633BD7"/>
    <w:pPr>
      <w:spacing w:line="240" w:lineRule="auto"/>
    </w:pPr>
    <w:rPr>
      <w:sz w:val="20"/>
      <w:szCs w:val="20"/>
    </w:rPr>
  </w:style>
  <w:style w:type="character" w:customStyle="1" w:styleId="CommentTextChar">
    <w:name w:val="Comment Text Char"/>
    <w:basedOn w:val="DefaultParagraphFont"/>
    <w:link w:val="CommentText"/>
    <w:uiPriority w:val="99"/>
    <w:rsid w:val="00633BD7"/>
    <w:rPr>
      <w:sz w:val="20"/>
      <w:szCs w:val="20"/>
    </w:rPr>
  </w:style>
  <w:style w:type="paragraph" w:styleId="CommentSubject">
    <w:name w:val="annotation subject"/>
    <w:basedOn w:val="CommentText"/>
    <w:next w:val="CommentText"/>
    <w:link w:val="CommentSubjectChar"/>
    <w:uiPriority w:val="99"/>
    <w:semiHidden/>
    <w:unhideWhenUsed/>
    <w:rsid w:val="00633BD7"/>
    <w:rPr>
      <w:b/>
      <w:bCs/>
    </w:rPr>
  </w:style>
  <w:style w:type="character" w:customStyle="1" w:styleId="CommentSubjectChar">
    <w:name w:val="Comment Subject Char"/>
    <w:basedOn w:val="CommentTextChar"/>
    <w:link w:val="CommentSubject"/>
    <w:uiPriority w:val="99"/>
    <w:semiHidden/>
    <w:rsid w:val="00633BD7"/>
    <w:rPr>
      <w:b/>
      <w:bCs/>
      <w:sz w:val="20"/>
      <w:szCs w:val="20"/>
    </w:rPr>
  </w:style>
  <w:style w:type="paragraph" w:styleId="BalloonText">
    <w:name w:val="Balloon Text"/>
    <w:basedOn w:val="Normal"/>
    <w:link w:val="BalloonTextChar"/>
    <w:uiPriority w:val="99"/>
    <w:semiHidden/>
    <w:unhideWhenUsed/>
    <w:rsid w:val="00633BD7"/>
    <w:pPr>
      <w:spacing w:after="0" w:line="240" w:lineRule="auto"/>
    </w:pPr>
    <w:rPr>
      <w:rFonts w:ascii="Times New Roman" w:hAnsi="Times New Roman" w:cs="Times New Roman"/>
    </w:rPr>
  </w:style>
  <w:style w:type="character" w:customStyle="1" w:styleId="BalloonTextChar">
    <w:name w:val="Balloon Text Char"/>
    <w:basedOn w:val="DefaultParagraphFont"/>
    <w:link w:val="BalloonText"/>
    <w:uiPriority w:val="99"/>
    <w:semiHidden/>
    <w:rsid w:val="00633BD7"/>
    <w:rPr>
      <w:rFonts w:ascii="Times New Roman" w:hAnsi="Times New Roman" w:cs="Times New Roman"/>
      <w:sz w:val="18"/>
      <w:szCs w:val="18"/>
    </w:rPr>
  </w:style>
  <w:style w:type="paragraph" w:styleId="NormalWeb">
    <w:name w:val="Normal (Web)"/>
    <w:basedOn w:val="Normal"/>
    <w:uiPriority w:val="99"/>
    <w:unhideWhenUsed/>
    <w:rsid w:val="00D03512"/>
    <w:pPr>
      <w:spacing w:before="100" w:beforeAutospacing="1" w:after="100" w:afterAutospacing="1" w:line="240" w:lineRule="auto"/>
    </w:pPr>
    <w:rPr>
      <w:rFonts w:ascii="Times New Roman" w:eastAsia="Times New Roman" w:hAnsi="Times New Roman" w:cs="Times New Roman"/>
    </w:rPr>
  </w:style>
  <w:style w:type="paragraph" w:styleId="Footer">
    <w:name w:val="footer"/>
    <w:basedOn w:val="Normal"/>
    <w:link w:val="FooterChar"/>
    <w:uiPriority w:val="99"/>
    <w:unhideWhenUsed/>
    <w:rsid w:val="005740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5740E7"/>
    <w:rPr>
      <w:sz w:val="22"/>
      <w:szCs w:val="22"/>
    </w:rPr>
  </w:style>
  <w:style w:type="character" w:styleId="PageNumber">
    <w:name w:val="page number"/>
    <w:basedOn w:val="DefaultParagraphFont"/>
    <w:uiPriority w:val="99"/>
    <w:semiHidden/>
    <w:unhideWhenUsed/>
    <w:rsid w:val="005740E7"/>
  </w:style>
  <w:style w:type="character" w:customStyle="1" w:styleId="Heading3Char">
    <w:name w:val="Heading 3 Char"/>
    <w:basedOn w:val="DefaultParagraphFont"/>
    <w:link w:val="Heading3"/>
    <w:uiPriority w:val="9"/>
    <w:rsid w:val="00491BC4"/>
    <w:rPr>
      <w:rFonts w:ascii="Montserrat Semi" w:hAnsi="Montserrat Semi"/>
      <w:b/>
      <w:bCs/>
      <w:color w:val="202124"/>
      <w:sz w:val="22"/>
      <w:szCs w:val="22"/>
    </w:rPr>
  </w:style>
  <w:style w:type="paragraph" w:styleId="ListParagraph">
    <w:name w:val="List Paragraph"/>
    <w:basedOn w:val="Normal"/>
    <w:uiPriority w:val="34"/>
    <w:qFormat/>
    <w:rsid w:val="00D4057C"/>
    <w:pPr>
      <w:numPr>
        <w:numId w:val="1"/>
      </w:numPr>
      <w:spacing w:after="120"/>
      <w:ind w:left="567" w:hanging="425"/>
    </w:pPr>
    <w:rPr>
      <w:rFonts w:eastAsia="Times New Roman" w:cs="Times New Roman"/>
      <w:lang w:val="en-AU"/>
    </w:rPr>
  </w:style>
  <w:style w:type="character" w:customStyle="1" w:styleId="UnresolvedMention1">
    <w:name w:val="Unresolved Mention1"/>
    <w:basedOn w:val="DefaultParagraphFont"/>
    <w:uiPriority w:val="99"/>
    <w:semiHidden/>
    <w:unhideWhenUsed/>
    <w:rsid w:val="00F11790"/>
    <w:rPr>
      <w:color w:val="605E5C"/>
      <w:shd w:val="clear" w:color="auto" w:fill="E1DFDD"/>
    </w:rPr>
  </w:style>
  <w:style w:type="character" w:customStyle="1" w:styleId="apple-converted-space">
    <w:name w:val="apple-converted-space"/>
    <w:basedOn w:val="DefaultParagraphFont"/>
    <w:rsid w:val="00E76ABE"/>
  </w:style>
  <w:style w:type="character" w:styleId="FollowedHyperlink">
    <w:name w:val="FollowedHyperlink"/>
    <w:basedOn w:val="DefaultParagraphFont"/>
    <w:uiPriority w:val="99"/>
    <w:semiHidden/>
    <w:unhideWhenUsed/>
    <w:rsid w:val="00627E6B"/>
    <w:rPr>
      <w:color w:val="954F72" w:themeColor="followedHyperlink"/>
      <w:u w:val="single"/>
    </w:rPr>
  </w:style>
  <w:style w:type="paragraph" w:styleId="EndnoteText">
    <w:name w:val="endnote text"/>
    <w:basedOn w:val="Normal"/>
    <w:link w:val="EndnoteTextChar"/>
    <w:unhideWhenUsed/>
    <w:rsid w:val="008365B6"/>
    <w:pPr>
      <w:spacing w:after="160" w:line="240" w:lineRule="auto"/>
      <w:ind w:left="426" w:hanging="284"/>
      <w:jc w:val="left"/>
    </w:pPr>
    <w:rPr>
      <w:sz w:val="14"/>
      <w:szCs w:val="14"/>
    </w:rPr>
  </w:style>
  <w:style w:type="character" w:customStyle="1" w:styleId="EndnoteTextChar">
    <w:name w:val="Endnote Text Char"/>
    <w:basedOn w:val="DefaultParagraphFont"/>
    <w:link w:val="EndnoteText"/>
    <w:rsid w:val="008365B6"/>
    <w:rPr>
      <w:rFonts w:ascii="Montserrat Light" w:hAnsi="Montserrat Light" w:cs="Arial"/>
      <w:color w:val="000000" w:themeColor="text1"/>
      <w:sz w:val="14"/>
      <w:szCs w:val="14"/>
      <w:lang w:val="en-GB"/>
    </w:rPr>
  </w:style>
  <w:style w:type="character" w:styleId="EndnoteReference">
    <w:name w:val="endnote reference"/>
    <w:basedOn w:val="DefaultParagraphFont"/>
    <w:unhideWhenUsed/>
    <w:rsid w:val="009E341A"/>
    <w:rPr>
      <w:rFonts w:ascii="Montserrat" w:hAnsi="Montserrat"/>
      <w:b w:val="0"/>
      <w:i w:val="0"/>
      <w:vertAlign w:val="superscript"/>
    </w:rPr>
  </w:style>
  <w:style w:type="paragraph" w:styleId="Revision">
    <w:name w:val="Revision"/>
    <w:hidden/>
    <w:uiPriority w:val="99"/>
    <w:semiHidden/>
    <w:rsid w:val="009F7422"/>
    <w:rPr>
      <w:rFonts w:ascii="Arial" w:hAnsi="Arial" w:cs="Arial"/>
      <w:color w:val="000000" w:themeColor="text1"/>
      <w:sz w:val="18"/>
      <w:szCs w:val="18"/>
    </w:rPr>
  </w:style>
  <w:style w:type="paragraph" w:styleId="Header">
    <w:name w:val="header"/>
    <w:basedOn w:val="Normal"/>
    <w:link w:val="HeaderChar"/>
    <w:uiPriority w:val="99"/>
    <w:unhideWhenUsed/>
    <w:rsid w:val="00A73407"/>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407"/>
    <w:rPr>
      <w:rFonts w:ascii="Arial" w:hAnsi="Arial" w:cs="Arial"/>
      <w:color w:val="000000" w:themeColor="text1"/>
      <w:sz w:val="18"/>
      <w:szCs w:val="18"/>
    </w:rPr>
  </w:style>
  <w:style w:type="character" w:customStyle="1" w:styleId="UnresolvedMention2">
    <w:name w:val="Unresolved Mention2"/>
    <w:basedOn w:val="DefaultParagraphFont"/>
    <w:uiPriority w:val="99"/>
    <w:semiHidden/>
    <w:unhideWhenUsed/>
    <w:rsid w:val="007934B0"/>
    <w:rPr>
      <w:color w:val="605E5C"/>
      <w:shd w:val="clear" w:color="auto" w:fill="E1DFDD"/>
    </w:rPr>
  </w:style>
  <w:style w:type="character" w:styleId="Emphasis">
    <w:name w:val="Emphasis"/>
    <w:basedOn w:val="DefaultParagraphFont"/>
    <w:uiPriority w:val="20"/>
    <w:qFormat/>
    <w:rsid w:val="00FF1C80"/>
    <w:rPr>
      <w:i/>
      <w:iCs/>
    </w:rPr>
  </w:style>
  <w:style w:type="character" w:customStyle="1" w:styleId="endnotereference0">
    <w:name w:val="endnote reference0"/>
    <w:basedOn w:val="DefaultParagraphFont"/>
    <w:rsid w:val="00D02543"/>
    <w:rPr>
      <w:vertAlign w:val="superscript"/>
    </w:rPr>
  </w:style>
  <w:style w:type="character" w:customStyle="1" w:styleId="EndnoteCharacters">
    <w:name w:val="Endnote Characters"/>
    <w:rsid w:val="00D02543"/>
  </w:style>
  <w:style w:type="paragraph" w:customStyle="1" w:styleId="endnotetext0">
    <w:name w:val="endnote text0"/>
    <w:basedOn w:val="Normal"/>
    <w:rsid w:val="00D02543"/>
    <w:pPr>
      <w:widowControl w:val="0"/>
      <w:suppressAutoHyphens/>
      <w:spacing w:after="0" w:line="240" w:lineRule="auto"/>
      <w:jc w:val="left"/>
    </w:pPr>
    <w:rPr>
      <w:rFonts w:ascii="Times New Roman" w:eastAsia="SimSun" w:hAnsi="Times New Roman"/>
      <w:color w:val="auto"/>
      <w:kern w:val="1"/>
      <w:sz w:val="20"/>
      <w:szCs w:val="20"/>
      <w:lang w:val="en-AU" w:eastAsia="hi-IN" w:bidi="hi-IN"/>
    </w:rPr>
  </w:style>
  <w:style w:type="paragraph" w:customStyle="1" w:styleId="Default">
    <w:name w:val="Default"/>
    <w:rsid w:val="006A04C7"/>
    <w:pPr>
      <w:autoSpaceDE w:val="0"/>
      <w:autoSpaceDN w:val="0"/>
      <w:adjustRightInd w:val="0"/>
    </w:pPr>
    <w:rPr>
      <w:rFonts w:ascii="Code" w:hAnsi="Code" w:cs="Code"/>
      <w:color w:val="000000"/>
      <w:lang w:val="en-GB"/>
    </w:rPr>
  </w:style>
  <w:style w:type="character" w:customStyle="1" w:styleId="footnotereference0">
    <w:name w:val="footnote reference0"/>
    <w:basedOn w:val="DefaultParagraphFont"/>
    <w:rsid w:val="00A04927"/>
    <w:rPr>
      <w:vertAlign w:val="superscript"/>
    </w:rPr>
  </w:style>
  <w:style w:type="paragraph" w:styleId="BodyText">
    <w:name w:val="Body Text"/>
    <w:basedOn w:val="Normal"/>
    <w:link w:val="BodyTextChar"/>
    <w:rsid w:val="00710B21"/>
    <w:pPr>
      <w:widowControl w:val="0"/>
      <w:suppressAutoHyphens/>
      <w:spacing w:after="120" w:line="240" w:lineRule="auto"/>
      <w:jc w:val="left"/>
    </w:pPr>
    <w:rPr>
      <w:rFonts w:ascii="Times New Roman" w:eastAsia="SimSun" w:hAnsi="Times New Roman"/>
      <w:color w:val="auto"/>
      <w:kern w:val="1"/>
      <w:lang w:val="en-AU" w:eastAsia="hi-IN" w:bidi="hi-IN"/>
    </w:rPr>
  </w:style>
  <w:style w:type="character" w:customStyle="1" w:styleId="BodyTextChar">
    <w:name w:val="Body Text Char"/>
    <w:basedOn w:val="DefaultParagraphFont"/>
    <w:link w:val="BodyText"/>
    <w:rsid w:val="00710B21"/>
    <w:rPr>
      <w:rFonts w:ascii="Times New Roman" w:eastAsia="SimSun" w:hAnsi="Times New Roman" w:cs="Arial"/>
      <w:kern w:val="1"/>
      <w:lang w:val="en-AU" w:eastAsia="hi-IN" w:bidi="hi-IN"/>
    </w:rPr>
  </w:style>
  <w:style w:type="character" w:styleId="Strong">
    <w:name w:val="Strong"/>
    <w:basedOn w:val="DefaultParagraphFont"/>
    <w:uiPriority w:val="22"/>
    <w:qFormat/>
    <w:rsid w:val="003C452E"/>
    <w:rPr>
      <w:b/>
      <w:bCs/>
    </w:rPr>
  </w:style>
  <w:style w:type="paragraph" w:styleId="IntenseQuote">
    <w:name w:val="Intense Quote"/>
    <w:basedOn w:val="Normal"/>
    <w:next w:val="Normal"/>
    <w:link w:val="IntenseQuoteChar"/>
    <w:uiPriority w:val="30"/>
    <w:qFormat/>
    <w:rsid w:val="003955BE"/>
    <w:pPr>
      <w:pBdr>
        <w:top w:val="single" w:sz="4" w:space="10" w:color="4472C4" w:themeColor="accent1"/>
        <w:bottom w:val="single" w:sz="4" w:space="10" w:color="4472C4" w:themeColor="accent1"/>
      </w:pBdr>
      <w:spacing w:before="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3955BE"/>
    <w:rPr>
      <w:rFonts w:ascii="Montserrat Light" w:hAnsi="Montserrat Light" w:cs="Arial"/>
      <w:i/>
      <w:iCs/>
      <w:color w:val="4472C4" w:themeColor="accent1"/>
      <w:sz w:val="18"/>
      <w:szCs w:val="18"/>
    </w:rPr>
  </w:style>
  <w:style w:type="paragraph" w:styleId="Quote">
    <w:name w:val="Quote"/>
    <w:basedOn w:val="Normal"/>
    <w:next w:val="Normal"/>
    <w:link w:val="QuoteChar"/>
    <w:uiPriority w:val="29"/>
    <w:qFormat/>
    <w:rsid w:val="00491BC4"/>
    <w:pPr>
      <w:pBdr>
        <w:top w:val="single" w:sz="18" w:space="4" w:color="52E5BA"/>
        <w:bottom w:val="single" w:sz="18" w:space="4" w:color="52E5BA"/>
      </w:pBdr>
      <w:spacing w:before="200" w:after="320" w:line="240" w:lineRule="auto"/>
      <w:ind w:left="862" w:right="862"/>
      <w:jc w:val="center"/>
    </w:pPr>
    <w:rPr>
      <w:i/>
      <w:iCs/>
      <w:color w:val="202124"/>
      <w:sz w:val="40"/>
      <w:szCs w:val="40"/>
    </w:rPr>
  </w:style>
  <w:style w:type="character" w:customStyle="1" w:styleId="QuoteChar">
    <w:name w:val="Quote Char"/>
    <w:basedOn w:val="DefaultParagraphFont"/>
    <w:link w:val="Quote"/>
    <w:uiPriority w:val="29"/>
    <w:rsid w:val="00491BC4"/>
    <w:rPr>
      <w:rFonts w:ascii="Montserrat Light" w:hAnsi="Montserrat Light" w:cs="Arial"/>
      <w:i/>
      <w:iCs/>
      <w:color w:val="202124"/>
      <w:sz w:val="40"/>
      <w:szCs w:val="40"/>
      <w:lang w:val="en-GB"/>
    </w:rPr>
  </w:style>
  <w:style w:type="paragraph" w:styleId="Title">
    <w:name w:val="Title"/>
    <w:basedOn w:val="Normal"/>
    <w:next w:val="Normal"/>
    <w:link w:val="TitleChar"/>
    <w:uiPriority w:val="10"/>
    <w:qFormat/>
    <w:rsid w:val="00637098"/>
    <w:pPr>
      <w:spacing w:after="0" w:line="240" w:lineRule="auto"/>
      <w:ind w:left="0"/>
      <w:contextualSpacing/>
      <w:jc w:val="left"/>
    </w:pPr>
    <w:rPr>
      <w:rFonts w:ascii="Montserrat" w:eastAsiaTheme="majorEastAsia" w:hAnsi="Montserrat" w:cs="Times New Roman (Headings CS)"/>
      <w:b/>
      <w:bCs/>
      <w:caps/>
      <w:color w:val="FFFFFF" w:themeColor="background1"/>
      <w:spacing w:val="-10"/>
      <w:kern w:val="28"/>
      <w:sz w:val="48"/>
      <w:szCs w:val="48"/>
    </w:rPr>
  </w:style>
  <w:style w:type="character" w:customStyle="1" w:styleId="TitleChar">
    <w:name w:val="Title Char"/>
    <w:basedOn w:val="DefaultParagraphFont"/>
    <w:link w:val="Title"/>
    <w:uiPriority w:val="10"/>
    <w:rsid w:val="00637098"/>
    <w:rPr>
      <w:rFonts w:ascii="Montserrat" w:eastAsiaTheme="majorEastAsia" w:hAnsi="Montserrat" w:cs="Times New Roman (Headings CS)"/>
      <w:b/>
      <w:bCs/>
      <w:caps/>
      <w:color w:val="FFFFFF" w:themeColor="background1"/>
      <w:spacing w:val="-10"/>
      <w:kern w:val="28"/>
      <w:sz w:val="48"/>
      <w:szCs w:val="48"/>
      <w:lang w:val="en-GB"/>
    </w:rPr>
  </w:style>
  <w:style w:type="paragraph" w:customStyle="1" w:styleId="keyconsiderations">
    <w:name w:val="key considerations"/>
    <w:basedOn w:val="Title"/>
    <w:qFormat/>
    <w:rsid w:val="00637098"/>
    <w:rPr>
      <w:color w:val="52E5BA"/>
      <w:sz w:val="36"/>
      <w:szCs w:val="36"/>
    </w:rPr>
  </w:style>
  <w:style w:type="paragraph" w:customStyle="1" w:styleId="orderedlist">
    <w:name w:val="ordered list"/>
    <w:basedOn w:val="ListParagraph"/>
    <w:qFormat/>
    <w:rsid w:val="00502770"/>
    <w:pPr>
      <w:numPr>
        <w:numId w:val="0"/>
      </w:numPr>
      <w:ind w:left="502" w:hanging="360"/>
    </w:pPr>
  </w:style>
  <w:style w:type="table" w:styleId="TableGrid">
    <w:name w:val="Table Grid"/>
    <w:basedOn w:val="TableNormal"/>
    <w:uiPriority w:val="39"/>
    <w:rsid w:val="0064775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stnumbers">
    <w:name w:val="List numbers"/>
    <w:basedOn w:val="ListParagraph"/>
    <w:qFormat/>
    <w:rsid w:val="00C829E1"/>
    <w:pPr>
      <w:numPr>
        <w:numId w:val="2"/>
      </w:numPr>
    </w:pPr>
  </w:style>
  <w:style w:type="character" w:customStyle="1" w:styleId="Heading4Char">
    <w:name w:val="Heading 4 Char"/>
    <w:basedOn w:val="DefaultParagraphFont"/>
    <w:link w:val="Heading4"/>
    <w:uiPriority w:val="9"/>
    <w:rsid w:val="000331AB"/>
    <w:rPr>
      <w:rFonts w:ascii="Montserrat" w:eastAsiaTheme="majorEastAsia" w:hAnsi="Montserrat" w:cs="Times New Roman (Headings CS)"/>
      <w:b/>
      <w:bCs/>
      <w:caps/>
      <w:color w:val="262626" w:themeColor="text1" w:themeTint="D9"/>
      <w:lang w:val="en-GB"/>
    </w:rPr>
  </w:style>
  <w:style w:type="paragraph" w:customStyle="1" w:styleId="PageNumber1">
    <w:name w:val="Page Number1"/>
    <w:qFormat/>
    <w:rsid w:val="0093203A"/>
    <w:pPr>
      <w:jc w:val="right"/>
    </w:pPr>
    <w:rPr>
      <w:rFonts w:ascii="Montserrat" w:hAnsi="Montserrat" w:cs="Times New Roman"/>
      <w:b/>
      <w:bCs/>
      <w:color w:val="AEAAAA" w:themeColor="background2" w:themeShade="BF"/>
      <w:sz w:val="16"/>
      <w:szCs w:val="16"/>
      <w:lang w:val="en-GB"/>
    </w:rPr>
  </w:style>
  <w:style w:type="character" w:styleId="UnresolvedMention">
    <w:name w:val="Unresolved Mention"/>
    <w:basedOn w:val="DefaultParagraphFont"/>
    <w:uiPriority w:val="99"/>
    <w:semiHidden/>
    <w:unhideWhenUsed/>
    <w:rsid w:val="00427F0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8409074">
      <w:bodyDiv w:val="1"/>
      <w:marLeft w:val="0"/>
      <w:marRight w:val="0"/>
      <w:marTop w:val="0"/>
      <w:marBottom w:val="0"/>
      <w:divBdr>
        <w:top w:val="none" w:sz="0" w:space="0" w:color="auto"/>
        <w:left w:val="none" w:sz="0" w:space="0" w:color="auto"/>
        <w:bottom w:val="none" w:sz="0" w:space="0" w:color="auto"/>
        <w:right w:val="none" w:sz="0" w:space="0" w:color="auto"/>
      </w:divBdr>
    </w:div>
    <w:div w:id="17196979">
      <w:bodyDiv w:val="1"/>
      <w:marLeft w:val="0"/>
      <w:marRight w:val="0"/>
      <w:marTop w:val="0"/>
      <w:marBottom w:val="0"/>
      <w:divBdr>
        <w:top w:val="none" w:sz="0" w:space="0" w:color="auto"/>
        <w:left w:val="none" w:sz="0" w:space="0" w:color="auto"/>
        <w:bottom w:val="none" w:sz="0" w:space="0" w:color="auto"/>
        <w:right w:val="none" w:sz="0" w:space="0" w:color="auto"/>
      </w:divBdr>
    </w:div>
    <w:div w:id="168371162">
      <w:bodyDiv w:val="1"/>
      <w:marLeft w:val="0"/>
      <w:marRight w:val="0"/>
      <w:marTop w:val="0"/>
      <w:marBottom w:val="0"/>
      <w:divBdr>
        <w:top w:val="none" w:sz="0" w:space="0" w:color="auto"/>
        <w:left w:val="none" w:sz="0" w:space="0" w:color="auto"/>
        <w:bottom w:val="none" w:sz="0" w:space="0" w:color="auto"/>
        <w:right w:val="none" w:sz="0" w:space="0" w:color="auto"/>
      </w:divBdr>
      <w:divsChild>
        <w:div w:id="1950156349">
          <w:marLeft w:val="0"/>
          <w:marRight w:val="0"/>
          <w:marTop w:val="0"/>
          <w:marBottom w:val="0"/>
          <w:divBdr>
            <w:top w:val="none" w:sz="0" w:space="0" w:color="auto"/>
            <w:left w:val="none" w:sz="0" w:space="0" w:color="auto"/>
            <w:bottom w:val="none" w:sz="0" w:space="0" w:color="auto"/>
            <w:right w:val="none" w:sz="0" w:space="0" w:color="auto"/>
          </w:divBdr>
        </w:div>
        <w:div w:id="1831675583">
          <w:marLeft w:val="0"/>
          <w:marRight w:val="0"/>
          <w:marTop w:val="0"/>
          <w:marBottom w:val="0"/>
          <w:divBdr>
            <w:top w:val="none" w:sz="0" w:space="0" w:color="auto"/>
            <w:left w:val="none" w:sz="0" w:space="0" w:color="auto"/>
            <w:bottom w:val="none" w:sz="0" w:space="0" w:color="auto"/>
            <w:right w:val="none" w:sz="0" w:space="0" w:color="auto"/>
          </w:divBdr>
        </w:div>
      </w:divsChild>
    </w:div>
    <w:div w:id="178085787">
      <w:bodyDiv w:val="1"/>
      <w:marLeft w:val="0"/>
      <w:marRight w:val="0"/>
      <w:marTop w:val="0"/>
      <w:marBottom w:val="0"/>
      <w:divBdr>
        <w:top w:val="none" w:sz="0" w:space="0" w:color="auto"/>
        <w:left w:val="none" w:sz="0" w:space="0" w:color="auto"/>
        <w:bottom w:val="none" w:sz="0" w:space="0" w:color="auto"/>
        <w:right w:val="none" w:sz="0" w:space="0" w:color="auto"/>
      </w:divBdr>
    </w:div>
    <w:div w:id="186648651">
      <w:bodyDiv w:val="1"/>
      <w:marLeft w:val="0"/>
      <w:marRight w:val="0"/>
      <w:marTop w:val="0"/>
      <w:marBottom w:val="0"/>
      <w:divBdr>
        <w:top w:val="none" w:sz="0" w:space="0" w:color="auto"/>
        <w:left w:val="none" w:sz="0" w:space="0" w:color="auto"/>
        <w:bottom w:val="none" w:sz="0" w:space="0" w:color="auto"/>
        <w:right w:val="none" w:sz="0" w:space="0" w:color="auto"/>
      </w:divBdr>
    </w:div>
    <w:div w:id="325132864">
      <w:bodyDiv w:val="1"/>
      <w:marLeft w:val="0"/>
      <w:marRight w:val="0"/>
      <w:marTop w:val="0"/>
      <w:marBottom w:val="0"/>
      <w:divBdr>
        <w:top w:val="none" w:sz="0" w:space="0" w:color="auto"/>
        <w:left w:val="none" w:sz="0" w:space="0" w:color="auto"/>
        <w:bottom w:val="none" w:sz="0" w:space="0" w:color="auto"/>
        <w:right w:val="none" w:sz="0" w:space="0" w:color="auto"/>
      </w:divBdr>
    </w:div>
    <w:div w:id="359204878">
      <w:bodyDiv w:val="1"/>
      <w:marLeft w:val="0"/>
      <w:marRight w:val="0"/>
      <w:marTop w:val="0"/>
      <w:marBottom w:val="0"/>
      <w:divBdr>
        <w:top w:val="none" w:sz="0" w:space="0" w:color="auto"/>
        <w:left w:val="none" w:sz="0" w:space="0" w:color="auto"/>
        <w:bottom w:val="none" w:sz="0" w:space="0" w:color="auto"/>
        <w:right w:val="none" w:sz="0" w:space="0" w:color="auto"/>
      </w:divBdr>
      <w:divsChild>
        <w:div w:id="192235656">
          <w:marLeft w:val="0"/>
          <w:marRight w:val="0"/>
          <w:marTop w:val="0"/>
          <w:marBottom w:val="0"/>
          <w:divBdr>
            <w:top w:val="none" w:sz="0" w:space="0" w:color="auto"/>
            <w:left w:val="none" w:sz="0" w:space="0" w:color="auto"/>
            <w:bottom w:val="none" w:sz="0" w:space="0" w:color="auto"/>
            <w:right w:val="none" w:sz="0" w:space="0" w:color="auto"/>
          </w:divBdr>
        </w:div>
      </w:divsChild>
    </w:div>
    <w:div w:id="370499839">
      <w:bodyDiv w:val="1"/>
      <w:marLeft w:val="0"/>
      <w:marRight w:val="0"/>
      <w:marTop w:val="0"/>
      <w:marBottom w:val="0"/>
      <w:divBdr>
        <w:top w:val="none" w:sz="0" w:space="0" w:color="auto"/>
        <w:left w:val="none" w:sz="0" w:space="0" w:color="auto"/>
        <w:bottom w:val="none" w:sz="0" w:space="0" w:color="auto"/>
        <w:right w:val="none" w:sz="0" w:space="0" w:color="auto"/>
      </w:divBdr>
    </w:div>
    <w:div w:id="400106236">
      <w:bodyDiv w:val="1"/>
      <w:marLeft w:val="0"/>
      <w:marRight w:val="0"/>
      <w:marTop w:val="0"/>
      <w:marBottom w:val="0"/>
      <w:divBdr>
        <w:top w:val="none" w:sz="0" w:space="0" w:color="auto"/>
        <w:left w:val="none" w:sz="0" w:space="0" w:color="auto"/>
        <w:bottom w:val="none" w:sz="0" w:space="0" w:color="auto"/>
        <w:right w:val="none" w:sz="0" w:space="0" w:color="auto"/>
      </w:divBdr>
    </w:div>
    <w:div w:id="449125991">
      <w:bodyDiv w:val="1"/>
      <w:marLeft w:val="0"/>
      <w:marRight w:val="0"/>
      <w:marTop w:val="0"/>
      <w:marBottom w:val="0"/>
      <w:divBdr>
        <w:top w:val="none" w:sz="0" w:space="0" w:color="auto"/>
        <w:left w:val="none" w:sz="0" w:space="0" w:color="auto"/>
        <w:bottom w:val="none" w:sz="0" w:space="0" w:color="auto"/>
        <w:right w:val="none" w:sz="0" w:space="0" w:color="auto"/>
      </w:divBdr>
    </w:div>
    <w:div w:id="449281372">
      <w:bodyDiv w:val="1"/>
      <w:marLeft w:val="0"/>
      <w:marRight w:val="0"/>
      <w:marTop w:val="0"/>
      <w:marBottom w:val="0"/>
      <w:divBdr>
        <w:top w:val="none" w:sz="0" w:space="0" w:color="auto"/>
        <w:left w:val="none" w:sz="0" w:space="0" w:color="auto"/>
        <w:bottom w:val="none" w:sz="0" w:space="0" w:color="auto"/>
        <w:right w:val="none" w:sz="0" w:space="0" w:color="auto"/>
      </w:divBdr>
      <w:divsChild>
        <w:div w:id="210308368">
          <w:marLeft w:val="0"/>
          <w:marRight w:val="0"/>
          <w:marTop w:val="0"/>
          <w:marBottom w:val="0"/>
          <w:divBdr>
            <w:top w:val="none" w:sz="0" w:space="0" w:color="auto"/>
            <w:left w:val="none" w:sz="0" w:space="0" w:color="auto"/>
            <w:bottom w:val="none" w:sz="0" w:space="0" w:color="auto"/>
            <w:right w:val="none" w:sz="0" w:space="0" w:color="auto"/>
          </w:divBdr>
          <w:divsChild>
            <w:div w:id="726102488">
              <w:marLeft w:val="0"/>
              <w:marRight w:val="0"/>
              <w:marTop w:val="0"/>
              <w:marBottom w:val="0"/>
              <w:divBdr>
                <w:top w:val="none" w:sz="0" w:space="0" w:color="auto"/>
                <w:left w:val="none" w:sz="0" w:space="0" w:color="auto"/>
                <w:bottom w:val="none" w:sz="0" w:space="0" w:color="auto"/>
                <w:right w:val="none" w:sz="0" w:space="0" w:color="auto"/>
              </w:divBdr>
              <w:divsChild>
                <w:div w:id="1026251633">
                  <w:marLeft w:val="0"/>
                  <w:marRight w:val="0"/>
                  <w:marTop w:val="0"/>
                  <w:marBottom w:val="0"/>
                  <w:divBdr>
                    <w:top w:val="none" w:sz="0" w:space="0" w:color="auto"/>
                    <w:left w:val="none" w:sz="0" w:space="0" w:color="auto"/>
                    <w:bottom w:val="none" w:sz="0" w:space="0" w:color="auto"/>
                    <w:right w:val="none" w:sz="0" w:space="0" w:color="auto"/>
                  </w:divBdr>
                  <w:divsChild>
                    <w:div w:id="5133504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0808799">
      <w:bodyDiv w:val="1"/>
      <w:marLeft w:val="0"/>
      <w:marRight w:val="0"/>
      <w:marTop w:val="0"/>
      <w:marBottom w:val="0"/>
      <w:divBdr>
        <w:top w:val="none" w:sz="0" w:space="0" w:color="auto"/>
        <w:left w:val="none" w:sz="0" w:space="0" w:color="auto"/>
        <w:bottom w:val="none" w:sz="0" w:space="0" w:color="auto"/>
        <w:right w:val="none" w:sz="0" w:space="0" w:color="auto"/>
      </w:divBdr>
    </w:div>
    <w:div w:id="461196750">
      <w:bodyDiv w:val="1"/>
      <w:marLeft w:val="0"/>
      <w:marRight w:val="0"/>
      <w:marTop w:val="0"/>
      <w:marBottom w:val="0"/>
      <w:divBdr>
        <w:top w:val="none" w:sz="0" w:space="0" w:color="auto"/>
        <w:left w:val="none" w:sz="0" w:space="0" w:color="auto"/>
        <w:bottom w:val="none" w:sz="0" w:space="0" w:color="auto"/>
        <w:right w:val="none" w:sz="0" w:space="0" w:color="auto"/>
      </w:divBdr>
    </w:div>
    <w:div w:id="536894758">
      <w:bodyDiv w:val="1"/>
      <w:marLeft w:val="0"/>
      <w:marRight w:val="0"/>
      <w:marTop w:val="0"/>
      <w:marBottom w:val="0"/>
      <w:divBdr>
        <w:top w:val="none" w:sz="0" w:space="0" w:color="auto"/>
        <w:left w:val="none" w:sz="0" w:space="0" w:color="auto"/>
        <w:bottom w:val="none" w:sz="0" w:space="0" w:color="auto"/>
        <w:right w:val="none" w:sz="0" w:space="0" w:color="auto"/>
      </w:divBdr>
    </w:div>
    <w:div w:id="556093802">
      <w:bodyDiv w:val="1"/>
      <w:marLeft w:val="0"/>
      <w:marRight w:val="0"/>
      <w:marTop w:val="0"/>
      <w:marBottom w:val="0"/>
      <w:divBdr>
        <w:top w:val="none" w:sz="0" w:space="0" w:color="auto"/>
        <w:left w:val="none" w:sz="0" w:space="0" w:color="auto"/>
        <w:bottom w:val="none" w:sz="0" w:space="0" w:color="auto"/>
        <w:right w:val="none" w:sz="0" w:space="0" w:color="auto"/>
      </w:divBdr>
    </w:div>
    <w:div w:id="619603527">
      <w:bodyDiv w:val="1"/>
      <w:marLeft w:val="0"/>
      <w:marRight w:val="0"/>
      <w:marTop w:val="0"/>
      <w:marBottom w:val="0"/>
      <w:divBdr>
        <w:top w:val="none" w:sz="0" w:space="0" w:color="auto"/>
        <w:left w:val="none" w:sz="0" w:space="0" w:color="auto"/>
        <w:bottom w:val="none" w:sz="0" w:space="0" w:color="auto"/>
        <w:right w:val="none" w:sz="0" w:space="0" w:color="auto"/>
      </w:divBdr>
    </w:div>
    <w:div w:id="619730572">
      <w:bodyDiv w:val="1"/>
      <w:marLeft w:val="0"/>
      <w:marRight w:val="0"/>
      <w:marTop w:val="0"/>
      <w:marBottom w:val="0"/>
      <w:divBdr>
        <w:top w:val="none" w:sz="0" w:space="0" w:color="auto"/>
        <w:left w:val="none" w:sz="0" w:space="0" w:color="auto"/>
        <w:bottom w:val="none" w:sz="0" w:space="0" w:color="auto"/>
        <w:right w:val="none" w:sz="0" w:space="0" w:color="auto"/>
      </w:divBdr>
      <w:divsChild>
        <w:div w:id="458687179">
          <w:marLeft w:val="0"/>
          <w:marRight w:val="0"/>
          <w:marTop w:val="0"/>
          <w:marBottom w:val="0"/>
          <w:divBdr>
            <w:top w:val="none" w:sz="0" w:space="0" w:color="auto"/>
            <w:left w:val="none" w:sz="0" w:space="0" w:color="auto"/>
            <w:bottom w:val="none" w:sz="0" w:space="0" w:color="auto"/>
            <w:right w:val="none" w:sz="0" w:space="0" w:color="auto"/>
          </w:divBdr>
          <w:divsChild>
            <w:div w:id="1856847650">
              <w:marLeft w:val="0"/>
              <w:marRight w:val="0"/>
              <w:marTop w:val="0"/>
              <w:marBottom w:val="0"/>
              <w:divBdr>
                <w:top w:val="none" w:sz="0" w:space="0" w:color="auto"/>
                <w:left w:val="none" w:sz="0" w:space="0" w:color="auto"/>
                <w:bottom w:val="none" w:sz="0" w:space="0" w:color="auto"/>
                <w:right w:val="none" w:sz="0" w:space="0" w:color="auto"/>
              </w:divBdr>
              <w:divsChild>
                <w:div w:id="1513884025">
                  <w:marLeft w:val="0"/>
                  <w:marRight w:val="0"/>
                  <w:marTop w:val="0"/>
                  <w:marBottom w:val="0"/>
                  <w:divBdr>
                    <w:top w:val="none" w:sz="0" w:space="0" w:color="auto"/>
                    <w:left w:val="none" w:sz="0" w:space="0" w:color="auto"/>
                    <w:bottom w:val="none" w:sz="0" w:space="0" w:color="auto"/>
                    <w:right w:val="none" w:sz="0" w:space="0" w:color="auto"/>
                  </w:divBdr>
                  <w:divsChild>
                    <w:div w:id="21297425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99091055">
      <w:bodyDiv w:val="1"/>
      <w:marLeft w:val="0"/>
      <w:marRight w:val="0"/>
      <w:marTop w:val="0"/>
      <w:marBottom w:val="0"/>
      <w:divBdr>
        <w:top w:val="none" w:sz="0" w:space="0" w:color="auto"/>
        <w:left w:val="none" w:sz="0" w:space="0" w:color="auto"/>
        <w:bottom w:val="none" w:sz="0" w:space="0" w:color="auto"/>
        <w:right w:val="none" w:sz="0" w:space="0" w:color="auto"/>
      </w:divBdr>
    </w:div>
    <w:div w:id="777142843">
      <w:bodyDiv w:val="1"/>
      <w:marLeft w:val="0"/>
      <w:marRight w:val="0"/>
      <w:marTop w:val="0"/>
      <w:marBottom w:val="0"/>
      <w:divBdr>
        <w:top w:val="none" w:sz="0" w:space="0" w:color="auto"/>
        <w:left w:val="none" w:sz="0" w:space="0" w:color="auto"/>
        <w:bottom w:val="none" w:sz="0" w:space="0" w:color="auto"/>
        <w:right w:val="none" w:sz="0" w:space="0" w:color="auto"/>
      </w:divBdr>
    </w:div>
    <w:div w:id="794641627">
      <w:bodyDiv w:val="1"/>
      <w:marLeft w:val="0"/>
      <w:marRight w:val="0"/>
      <w:marTop w:val="0"/>
      <w:marBottom w:val="0"/>
      <w:divBdr>
        <w:top w:val="none" w:sz="0" w:space="0" w:color="auto"/>
        <w:left w:val="none" w:sz="0" w:space="0" w:color="auto"/>
        <w:bottom w:val="none" w:sz="0" w:space="0" w:color="auto"/>
        <w:right w:val="none" w:sz="0" w:space="0" w:color="auto"/>
      </w:divBdr>
    </w:div>
    <w:div w:id="799303425">
      <w:bodyDiv w:val="1"/>
      <w:marLeft w:val="0"/>
      <w:marRight w:val="0"/>
      <w:marTop w:val="0"/>
      <w:marBottom w:val="0"/>
      <w:divBdr>
        <w:top w:val="none" w:sz="0" w:space="0" w:color="auto"/>
        <w:left w:val="none" w:sz="0" w:space="0" w:color="auto"/>
        <w:bottom w:val="none" w:sz="0" w:space="0" w:color="auto"/>
        <w:right w:val="none" w:sz="0" w:space="0" w:color="auto"/>
      </w:divBdr>
    </w:div>
    <w:div w:id="904493858">
      <w:bodyDiv w:val="1"/>
      <w:marLeft w:val="0"/>
      <w:marRight w:val="0"/>
      <w:marTop w:val="0"/>
      <w:marBottom w:val="0"/>
      <w:divBdr>
        <w:top w:val="none" w:sz="0" w:space="0" w:color="auto"/>
        <w:left w:val="none" w:sz="0" w:space="0" w:color="auto"/>
        <w:bottom w:val="none" w:sz="0" w:space="0" w:color="auto"/>
        <w:right w:val="none" w:sz="0" w:space="0" w:color="auto"/>
      </w:divBdr>
    </w:div>
    <w:div w:id="915437329">
      <w:bodyDiv w:val="1"/>
      <w:marLeft w:val="0"/>
      <w:marRight w:val="0"/>
      <w:marTop w:val="0"/>
      <w:marBottom w:val="0"/>
      <w:divBdr>
        <w:top w:val="none" w:sz="0" w:space="0" w:color="auto"/>
        <w:left w:val="none" w:sz="0" w:space="0" w:color="auto"/>
        <w:bottom w:val="none" w:sz="0" w:space="0" w:color="auto"/>
        <w:right w:val="none" w:sz="0" w:space="0" w:color="auto"/>
      </w:divBdr>
    </w:div>
    <w:div w:id="982734287">
      <w:bodyDiv w:val="1"/>
      <w:marLeft w:val="0"/>
      <w:marRight w:val="0"/>
      <w:marTop w:val="0"/>
      <w:marBottom w:val="0"/>
      <w:divBdr>
        <w:top w:val="none" w:sz="0" w:space="0" w:color="auto"/>
        <w:left w:val="none" w:sz="0" w:space="0" w:color="auto"/>
        <w:bottom w:val="none" w:sz="0" w:space="0" w:color="auto"/>
        <w:right w:val="none" w:sz="0" w:space="0" w:color="auto"/>
      </w:divBdr>
    </w:div>
    <w:div w:id="1001860028">
      <w:bodyDiv w:val="1"/>
      <w:marLeft w:val="0"/>
      <w:marRight w:val="0"/>
      <w:marTop w:val="0"/>
      <w:marBottom w:val="0"/>
      <w:divBdr>
        <w:top w:val="none" w:sz="0" w:space="0" w:color="auto"/>
        <w:left w:val="none" w:sz="0" w:space="0" w:color="auto"/>
        <w:bottom w:val="none" w:sz="0" w:space="0" w:color="auto"/>
        <w:right w:val="none" w:sz="0" w:space="0" w:color="auto"/>
      </w:divBdr>
    </w:div>
    <w:div w:id="1021199462">
      <w:bodyDiv w:val="1"/>
      <w:marLeft w:val="0"/>
      <w:marRight w:val="0"/>
      <w:marTop w:val="0"/>
      <w:marBottom w:val="0"/>
      <w:divBdr>
        <w:top w:val="none" w:sz="0" w:space="0" w:color="auto"/>
        <w:left w:val="none" w:sz="0" w:space="0" w:color="auto"/>
        <w:bottom w:val="none" w:sz="0" w:space="0" w:color="auto"/>
        <w:right w:val="none" w:sz="0" w:space="0" w:color="auto"/>
      </w:divBdr>
    </w:div>
    <w:div w:id="1053118287">
      <w:bodyDiv w:val="1"/>
      <w:marLeft w:val="0"/>
      <w:marRight w:val="0"/>
      <w:marTop w:val="0"/>
      <w:marBottom w:val="0"/>
      <w:divBdr>
        <w:top w:val="none" w:sz="0" w:space="0" w:color="auto"/>
        <w:left w:val="none" w:sz="0" w:space="0" w:color="auto"/>
        <w:bottom w:val="none" w:sz="0" w:space="0" w:color="auto"/>
        <w:right w:val="none" w:sz="0" w:space="0" w:color="auto"/>
      </w:divBdr>
    </w:div>
    <w:div w:id="1111167384">
      <w:bodyDiv w:val="1"/>
      <w:marLeft w:val="0"/>
      <w:marRight w:val="0"/>
      <w:marTop w:val="0"/>
      <w:marBottom w:val="0"/>
      <w:divBdr>
        <w:top w:val="none" w:sz="0" w:space="0" w:color="auto"/>
        <w:left w:val="none" w:sz="0" w:space="0" w:color="auto"/>
        <w:bottom w:val="none" w:sz="0" w:space="0" w:color="auto"/>
        <w:right w:val="none" w:sz="0" w:space="0" w:color="auto"/>
      </w:divBdr>
    </w:div>
    <w:div w:id="1180194876">
      <w:bodyDiv w:val="1"/>
      <w:marLeft w:val="0"/>
      <w:marRight w:val="0"/>
      <w:marTop w:val="0"/>
      <w:marBottom w:val="0"/>
      <w:divBdr>
        <w:top w:val="none" w:sz="0" w:space="0" w:color="auto"/>
        <w:left w:val="none" w:sz="0" w:space="0" w:color="auto"/>
        <w:bottom w:val="none" w:sz="0" w:space="0" w:color="auto"/>
        <w:right w:val="none" w:sz="0" w:space="0" w:color="auto"/>
      </w:divBdr>
    </w:div>
    <w:div w:id="1208758471">
      <w:bodyDiv w:val="1"/>
      <w:marLeft w:val="0"/>
      <w:marRight w:val="0"/>
      <w:marTop w:val="0"/>
      <w:marBottom w:val="0"/>
      <w:divBdr>
        <w:top w:val="none" w:sz="0" w:space="0" w:color="auto"/>
        <w:left w:val="none" w:sz="0" w:space="0" w:color="auto"/>
        <w:bottom w:val="none" w:sz="0" w:space="0" w:color="auto"/>
        <w:right w:val="none" w:sz="0" w:space="0" w:color="auto"/>
      </w:divBdr>
    </w:div>
    <w:div w:id="1223558334">
      <w:bodyDiv w:val="1"/>
      <w:marLeft w:val="0"/>
      <w:marRight w:val="0"/>
      <w:marTop w:val="0"/>
      <w:marBottom w:val="0"/>
      <w:divBdr>
        <w:top w:val="none" w:sz="0" w:space="0" w:color="auto"/>
        <w:left w:val="none" w:sz="0" w:space="0" w:color="auto"/>
        <w:bottom w:val="none" w:sz="0" w:space="0" w:color="auto"/>
        <w:right w:val="none" w:sz="0" w:space="0" w:color="auto"/>
      </w:divBdr>
      <w:divsChild>
        <w:div w:id="2110660632">
          <w:marLeft w:val="0"/>
          <w:marRight w:val="0"/>
          <w:marTop w:val="0"/>
          <w:marBottom w:val="0"/>
          <w:divBdr>
            <w:top w:val="none" w:sz="0" w:space="0" w:color="auto"/>
            <w:left w:val="none" w:sz="0" w:space="0" w:color="auto"/>
            <w:bottom w:val="none" w:sz="0" w:space="0" w:color="auto"/>
            <w:right w:val="none" w:sz="0" w:space="0" w:color="auto"/>
          </w:divBdr>
          <w:divsChild>
            <w:div w:id="1751342096">
              <w:marLeft w:val="0"/>
              <w:marRight w:val="0"/>
              <w:marTop w:val="0"/>
              <w:marBottom w:val="0"/>
              <w:divBdr>
                <w:top w:val="none" w:sz="0" w:space="0" w:color="auto"/>
                <w:left w:val="none" w:sz="0" w:space="0" w:color="auto"/>
                <w:bottom w:val="none" w:sz="0" w:space="0" w:color="auto"/>
                <w:right w:val="none" w:sz="0" w:space="0" w:color="auto"/>
              </w:divBdr>
              <w:divsChild>
                <w:div w:id="186799449">
                  <w:marLeft w:val="0"/>
                  <w:marRight w:val="0"/>
                  <w:marTop w:val="0"/>
                  <w:marBottom w:val="0"/>
                  <w:divBdr>
                    <w:top w:val="none" w:sz="0" w:space="0" w:color="auto"/>
                    <w:left w:val="none" w:sz="0" w:space="0" w:color="auto"/>
                    <w:bottom w:val="none" w:sz="0" w:space="0" w:color="auto"/>
                    <w:right w:val="none" w:sz="0" w:space="0" w:color="auto"/>
                  </w:divBdr>
                  <w:divsChild>
                    <w:div w:id="15351154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1668783">
      <w:bodyDiv w:val="1"/>
      <w:marLeft w:val="0"/>
      <w:marRight w:val="0"/>
      <w:marTop w:val="0"/>
      <w:marBottom w:val="0"/>
      <w:divBdr>
        <w:top w:val="none" w:sz="0" w:space="0" w:color="auto"/>
        <w:left w:val="none" w:sz="0" w:space="0" w:color="auto"/>
        <w:bottom w:val="none" w:sz="0" w:space="0" w:color="auto"/>
        <w:right w:val="none" w:sz="0" w:space="0" w:color="auto"/>
      </w:divBdr>
    </w:div>
    <w:div w:id="1332027480">
      <w:bodyDiv w:val="1"/>
      <w:marLeft w:val="0"/>
      <w:marRight w:val="0"/>
      <w:marTop w:val="0"/>
      <w:marBottom w:val="0"/>
      <w:divBdr>
        <w:top w:val="none" w:sz="0" w:space="0" w:color="auto"/>
        <w:left w:val="none" w:sz="0" w:space="0" w:color="auto"/>
        <w:bottom w:val="none" w:sz="0" w:space="0" w:color="auto"/>
        <w:right w:val="none" w:sz="0" w:space="0" w:color="auto"/>
      </w:divBdr>
    </w:div>
    <w:div w:id="1393308001">
      <w:bodyDiv w:val="1"/>
      <w:marLeft w:val="0"/>
      <w:marRight w:val="0"/>
      <w:marTop w:val="0"/>
      <w:marBottom w:val="0"/>
      <w:divBdr>
        <w:top w:val="none" w:sz="0" w:space="0" w:color="auto"/>
        <w:left w:val="none" w:sz="0" w:space="0" w:color="auto"/>
        <w:bottom w:val="none" w:sz="0" w:space="0" w:color="auto"/>
        <w:right w:val="none" w:sz="0" w:space="0" w:color="auto"/>
      </w:divBdr>
    </w:div>
    <w:div w:id="1403484294">
      <w:bodyDiv w:val="1"/>
      <w:marLeft w:val="0"/>
      <w:marRight w:val="0"/>
      <w:marTop w:val="0"/>
      <w:marBottom w:val="0"/>
      <w:divBdr>
        <w:top w:val="none" w:sz="0" w:space="0" w:color="auto"/>
        <w:left w:val="none" w:sz="0" w:space="0" w:color="auto"/>
        <w:bottom w:val="none" w:sz="0" w:space="0" w:color="auto"/>
        <w:right w:val="none" w:sz="0" w:space="0" w:color="auto"/>
      </w:divBdr>
      <w:divsChild>
        <w:div w:id="528110980">
          <w:marLeft w:val="0"/>
          <w:marRight w:val="0"/>
          <w:marTop w:val="0"/>
          <w:marBottom w:val="0"/>
          <w:divBdr>
            <w:top w:val="none" w:sz="0" w:space="0" w:color="auto"/>
            <w:left w:val="none" w:sz="0" w:space="0" w:color="auto"/>
            <w:bottom w:val="none" w:sz="0" w:space="0" w:color="auto"/>
            <w:right w:val="none" w:sz="0" w:space="0" w:color="auto"/>
          </w:divBdr>
          <w:divsChild>
            <w:div w:id="1798449225">
              <w:marLeft w:val="0"/>
              <w:marRight w:val="0"/>
              <w:marTop w:val="0"/>
              <w:marBottom w:val="0"/>
              <w:divBdr>
                <w:top w:val="none" w:sz="0" w:space="0" w:color="auto"/>
                <w:left w:val="none" w:sz="0" w:space="0" w:color="auto"/>
                <w:bottom w:val="none" w:sz="0" w:space="0" w:color="auto"/>
                <w:right w:val="none" w:sz="0" w:space="0" w:color="auto"/>
              </w:divBdr>
              <w:divsChild>
                <w:div w:id="144272605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872231044">
                      <w:marLeft w:val="0"/>
                      <w:marRight w:val="0"/>
                      <w:marTop w:val="0"/>
                      <w:marBottom w:val="0"/>
                      <w:divBdr>
                        <w:top w:val="none" w:sz="0" w:space="0" w:color="auto"/>
                        <w:left w:val="none" w:sz="0" w:space="0" w:color="auto"/>
                        <w:bottom w:val="none" w:sz="0" w:space="0" w:color="auto"/>
                        <w:right w:val="none" w:sz="0" w:space="0" w:color="auto"/>
                      </w:divBdr>
                      <w:divsChild>
                        <w:div w:id="454522903">
                          <w:marLeft w:val="14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04180654">
      <w:bodyDiv w:val="1"/>
      <w:marLeft w:val="0"/>
      <w:marRight w:val="0"/>
      <w:marTop w:val="0"/>
      <w:marBottom w:val="0"/>
      <w:divBdr>
        <w:top w:val="none" w:sz="0" w:space="0" w:color="auto"/>
        <w:left w:val="none" w:sz="0" w:space="0" w:color="auto"/>
        <w:bottom w:val="none" w:sz="0" w:space="0" w:color="auto"/>
        <w:right w:val="none" w:sz="0" w:space="0" w:color="auto"/>
      </w:divBdr>
    </w:div>
    <w:div w:id="1408190505">
      <w:bodyDiv w:val="1"/>
      <w:marLeft w:val="0"/>
      <w:marRight w:val="0"/>
      <w:marTop w:val="0"/>
      <w:marBottom w:val="0"/>
      <w:divBdr>
        <w:top w:val="none" w:sz="0" w:space="0" w:color="auto"/>
        <w:left w:val="none" w:sz="0" w:space="0" w:color="auto"/>
        <w:bottom w:val="none" w:sz="0" w:space="0" w:color="auto"/>
        <w:right w:val="none" w:sz="0" w:space="0" w:color="auto"/>
      </w:divBdr>
      <w:divsChild>
        <w:div w:id="1807622025">
          <w:marLeft w:val="0"/>
          <w:marRight w:val="0"/>
          <w:marTop w:val="0"/>
          <w:marBottom w:val="0"/>
          <w:divBdr>
            <w:top w:val="none" w:sz="0" w:space="0" w:color="auto"/>
            <w:left w:val="none" w:sz="0" w:space="0" w:color="auto"/>
            <w:bottom w:val="none" w:sz="0" w:space="0" w:color="auto"/>
            <w:right w:val="none" w:sz="0" w:space="0" w:color="auto"/>
          </w:divBdr>
          <w:divsChild>
            <w:div w:id="1385832052">
              <w:marLeft w:val="0"/>
              <w:marRight w:val="0"/>
              <w:marTop w:val="0"/>
              <w:marBottom w:val="0"/>
              <w:divBdr>
                <w:top w:val="none" w:sz="0" w:space="0" w:color="auto"/>
                <w:left w:val="none" w:sz="0" w:space="0" w:color="auto"/>
                <w:bottom w:val="none" w:sz="0" w:space="0" w:color="auto"/>
                <w:right w:val="none" w:sz="0" w:space="0" w:color="auto"/>
              </w:divBdr>
              <w:divsChild>
                <w:div w:id="1002389000">
                  <w:marLeft w:val="0"/>
                  <w:marRight w:val="0"/>
                  <w:marTop w:val="0"/>
                  <w:marBottom w:val="0"/>
                  <w:divBdr>
                    <w:top w:val="none" w:sz="0" w:space="0" w:color="auto"/>
                    <w:left w:val="none" w:sz="0" w:space="0" w:color="auto"/>
                    <w:bottom w:val="none" w:sz="0" w:space="0" w:color="auto"/>
                    <w:right w:val="none" w:sz="0" w:space="0" w:color="auto"/>
                  </w:divBdr>
                  <w:divsChild>
                    <w:div w:id="26346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7284803">
      <w:bodyDiv w:val="1"/>
      <w:marLeft w:val="0"/>
      <w:marRight w:val="0"/>
      <w:marTop w:val="0"/>
      <w:marBottom w:val="0"/>
      <w:divBdr>
        <w:top w:val="none" w:sz="0" w:space="0" w:color="auto"/>
        <w:left w:val="none" w:sz="0" w:space="0" w:color="auto"/>
        <w:bottom w:val="none" w:sz="0" w:space="0" w:color="auto"/>
        <w:right w:val="none" w:sz="0" w:space="0" w:color="auto"/>
      </w:divBdr>
    </w:div>
    <w:div w:id="1448936672">
      <w:bodyDiv w:val="1"/>
      <w:marLeft w:val="0"/>
      <w:marRight w:val="0"/>
      <w:marTop w:val="0"/>
      <w:marBottom w:val="0"/>
      <w:divBdr>
        <w:top w:val="none" w:sz="0" w:space="0" w:color="auto"/>
        <w:left w:val="none" w:sz="0" w:space="0" w:color="auto"/>
        <w:bottom w:val="none" w:sz="0" w:space="0" w:color="auto"/>
        <w:right w:val="none" w:sz="0" w:space="0" w:color="auto"/>
      </w:divBdr>
      <w:divsChild>
        <w:div w:id="1278636172">
          <w:marLeft w:val="0"/>
          <w:marRight w:val="0"/>
          <w:marTop w:val="0"/>
          <w:marBottom w:val="0"/>
          <w:divBdr>
            <w:top w:val="none" w:sz="0" w:space="0" w:color="auto"/>
            <w:left w:val="none" w:sz="0" w:space="0" w:color="auto"/>
            <w:bottom w:val="none" w:sz="0" w:space="0" w:color="auto"/>
            <w:right w:val="none" w:sz="0" w:space="0" w:color="auto"/>
          </w:divBdr>
        </w:div>
      </w:divsChild>
    </w:div>
    <w:div w:id="1501461292">
      <w:bodyDiv w:val="1"/>
      <w:marLeft w:val="0"/>
      <w:marRight w:val="0"/>
      <w:marTop w:val="0"/>
      <w:marBottom w:val="0"/>
      <w:divBdr>
        <w:top w:val="none" w:sz="0" w:space="0" w:color="auto"/>
        <w:left w:val="none" w:sz="0" w:space="0" w:color="auto"/>
        <w:bottom w:val="none" w:sz="0" w:space="0" w:color="auto"/>
        <w:right w:val="none" w:sz="0" w:space="0" w:color="auto"/>
      </w:divBdr>
    </w:div>
    <w:div w:id="1532380675">
      <w:bodyDiv w:val="1"/>
      <w:marLeft w:val="0"/>
      <w:marRight w:val="0"/>
      <w:marTop w:val="0"/>
      <w:marBottom w:val="0"/>
      <w:divBdr>
        <w:top w:val="none" w:sz="0" w:space="0" w:color="auto"/>
        <w:left w:val="none" w:sz="0" w:space="0" w:color="auto"/>
        <w:bottom w:val="none" w:sz="0" w:space="0" w:color="auto"/>
        <w:right w:val="none" w:sz="0" w:space="0" w:color="auto"/>
      </w:divBdr>
    </w:div>
    <w:div w:id="1536650263">
      <w:bodyDiv w:val="1"/>
      <w:marLeft w:val="0"/>
      <w:marRight w:val="0"/>
      <w:marTop w:val="0"/>
      <w:marBottom w:val="0"/>
      <w:divBdr>
        <w:top w:val="none" w:sz="0" w:space="0" w:color="auto"/>
        <w:left w:val="none" w:sz="0" w:space="0" w:color="auto"/>
        <w:bottom w:val="none" w:sz="0" w:space="0" w:color="auto"/>
        <w:right w:val="none" w:sz="0" w:space="0" w:color="auto"/>
      </w:divBdr>
    </w:div>
    <w:div w:id="1570459553">
      <w:bodyDiv w:val="1"/>
      <w:marLeft w:val="0"/>
      <w:marRight w:val="0"/>
      <w:marTop w:val="0"/>
      <w:marBottom w:val="0"/>
      <w:divBdr>
        <w:top w:val="none" w:sz="0" w:space="0" w:color="auto"/>
        <w:left w:val="none" w:sz="0" w:space="0" w:color="auto"/>
        <w:bottom w:val="none" w:sz="0" w:space="0" w:color="auto"/>
        <w:right w:val="none" w:sz="0" w:space="0" w:color="auto"/>
      </w:divBdr>
    </w:div>
    <w:div w:id="1684892588">
      <w:bodyDiv w:val="1"/>
      <w:marLeft w:val="0"/>
      <w:marRight w:val="0"/>
      <w:marTop w:val="0"/>
      <w:marBottom w:val="0"/>
      <w:divBdr>
        <w:top w:val="none" w:sz="0" w:space="0" w:color="auto"/>
        <w:left w:val="none" w:sz="0" w:space="0" w:color="auto"/>
        <w:bottom w:val="none" w:sz="0" w:space="0" w:color="auto"/>
        <w:right w:val="none" w:sz="0" w:space="0" w:color="auto"/>
      </w:divBdr>
      <w:divsChild>
        <w:div w:id="53346649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0782583">
              <w:marLeft w:val="0"/>
              <w:marRight w:val="0"/>
              <w:marTop w:val="0"/>
              <w:marBottom w:val="0"/>
              <w:divBdr>
                <w:top w:val="none" w:sz="0" w:space="0" w:color="auto"/>
                <w:left w:val="none" w:sz="0" w:space="0" w:color="auto"/>
                <w:bottom w:val="none" w:sz="0" w:space="0" w:color="auto"/>
                <w:right w:val="none" w:sz="0" w:space="0" w:color="auto"/>
              </w:divBdr>
              <w:divsChild>
                <w:div w:id="1093667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8794649">
      <w:bodyDiv w:val="1"/>
      <w:marLeft w:val="0"/>
      <w:marRight w:val="0"/>
      <w:marTop w:val="0"/>
      <w:marBottom w:val="0"/>
      <w:divBdr>
        <w:top w:val="none" w:sz="0" w:space="0" w:color="auto"/>
        <w:left w:val="none" w:sz="0" w:space="0" w:color="auto"/>
        <w:bottom w:val="none" w:sz="0" w:space="0" w:color="auto"/>
        <w:right w:val="none" w:sz="0" w:space="0" w:color="auto"/>
      </w:divBdr>
    </w:div>
    <w:div w:id="1715930507">
      <w:bodyDiv w:val="1"/>
      <w:marLeft w:val="0"/>
      <w:marRight w:val="0"/>
      <w:marTop w:val="0"/>
      <w:marBottom w:val="0"/>
      <w:divBdr>
        <w:top w:val="none" w:sz="0" w:space="0" w:color="auto"/>
        <w:left w:val="none" w:sz="0" w:space="0" w:color="auto"/>
        <w:bottom w:val="none" w:sz="0" w:space="0" w:color="auto"/>
        <w:right w:val="none" w:sz="0" w:space="0" w:color="auto"/>
      </w:divBdr>
    </w:div>
    <w:div w:id="1719938564">
      <w:bodyDiv w:val="1"/>
      <w:marLeft w:val="0"/>
      <w:marRight w:val="0"/>
      <w:marTop w:val="0"/>
      <w:marBottom w:val="0"/>
      <w:divBdr>
        <w:top w:val="none" w:sz="0" w:space="0" w:color="auto"/>
        <w:left w:val="none" w:sz="0" w:space="0" w:color="auto"/>
        <w:bottom w:val="none" w:sz="0" w:space="0" w:color="auto"/>
        <w:right w:val="none" w:sz="0" w:space="0" w:color="auto"/>
      </w:divBdr>
      <w:divsChild>
        <w:div w:id="299379887">
          <w:marLeft w:val="0"/>
          <w:marRight w:val="0"/>
          <w:marTop w:val="150"/>
          <w:marBottom w:val="270"/>
          <w:divBdr>
            <w:top w:val="none" w:sz="0" w:space="0" w:color="auto"/>
            <w:left w:val="none" w:sz="0" w:space="0" w:color="auto"/>
            <w:bottom w:val="none" w:sz="0" w:space="0" w:color="auto"/>
            <w:right w:val="none" w:sz="0" w:space="0" w:color="auto"/>
          </w:divBdr>
          <w:divsChild>
            <w:div w:id="513541014">
              <w:marLeft w:val="0"/>
              <w:marRight w:val="0"/>
              <w:marTop w:val="0"/>
              <w:marBottom w:val="0"/>
              <w:divBdr>
                <w:top w:val="none" w:sz="0" w:space="0" w:color="auto"/>
                <w:left w:val="none" w:sz="0" w:space="0" w:color="auto"/>
                <w:bottom w:val="none" w:sz="0" w:space="0" w:color="auto"/>
                <w:right w:val="none" w:sz="0" w:space="0" w:color="auto"/>
              </w:divBdr>
            </w:div>
          </w:divsChild>
        </w:div>
        <w:div w:id="1010065591">
          <w:marLeft w:val="0"/>
          <w:marRight w:val="0"/>
          <w:marTop w:val="150"/>
          <w:marBottom w:val="270"/>
          <w:divBdr>
            <w:top w:val="none" w:sz="0" w:space="0" w:color="auto"/>
            <w:left w:val="none" w:sz="0" w:space="0" w:color="auto"/>
            <w:bottom w:val="none" w:sz="0" w:space="0" w:color="auto"/>
            <w:right w:val="none" w:sz="0" w:space="0" w:color="auto"/>
          </w:divBdr>
          <w:divsChild>
            <w:div w:id="1441728139">
              <w:marLeft w:val="0"/>
              <w:marRight w:val="0"/>
              <w:marTop w:val="0"/>
              <w:marBottom w:val="0"/>
              <w:divBdr>
                <w:top w:val="none" w:sz="0" w:space="0" w:color="auto"/>
                <w:left w:val="none" w:sz="0" w:space="0" w:color="auto"/>
                <w:bottom w:val="none" w:sz="0" w:space="0" w:color="auto"/>
                <w:right w:val="none" w:sz="0" w:space="0" w:color="auto"/>
              </w:divBdr>
            </w:div>
            <w:div w:id="344942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413271">
      <w:bodyDiv w:val="1"/>
      <w:marLeft w:val="0"/>
      <w:marRight w:val="0"/>
      <w:marTop w:val="0"/>
      <w:marBottom w:val="0"/>
      <w:divBdr>
        <w:top w:val="none" w:sz="0" w:space="0" w:color="auto"/>
        <w:left w:val="none" w:sz="0" w:space="0" w:color="auto"/>
        <w:bottom w:val="none" w:sz="0" w:space="0" w:color="auto"/>
        <w:right w:val="none" w:sz="0" w:space="0" w:color="auto"/>
      </w:divBdr>
      <w:divsChild>
        <w:div w:id="819887863">
          <w:marLeft w:val="0"/>
          <w:marRight w:val="0"/>
          <w:marTop w:val="0"/>
          <w:marBottom w:val="0"/>
          <w:divBdr>
            <w:top w:val="none" w:sz="0" w:space="0" w:color="auto"/>
            <w:left w:val="none" w:sz="0" w:space="0" w:color="auto"/>
            <w:bottom w:val="none" w:sz="0" w:space="0" w:color="auto"/>
            <w:right w:val="none" w:sz="0" w:space="0" w:color="auto"/>
          </w:divBdr>
          <w:divsChild>
            <w:div w:id="1212035634">
              <w:marLeft w:val="0"/>
              <w:marRight w:val="0"/>
              <w:marTop w:val="0"/>
              <w:marBottom w:val="0"/>
              <w:divBdr>
                <w:top w:val="none" w:sz="0" w:space="0" w:color="auto"/>
                <w:left w:val="none" w:sz="0" w:space="0" w:color="auto"/>
                <w:bottom w:val="none" w:sz="0" w:space="0" w:color="auto"/>
                <w:right w:val="none" w:sz="0" w:space="0" w:color="auto"/>
              </w:divBdr>
              <w:divsChild>
                <w:div w:id="437989608">
                  <w:marLeft w:val="0"/>
                  <w:marRight w:val="0"/>
                  <w:marTop w:val="0"/>
                  <w:marBottom w:val="0"/>
                  <w:divBdr>
                    <w:top w:val="none" w:sz="0" w:space="0" w:color="auto"/>
                    <w:left w:val="none" w:sz="0" w:space="0" w:color="auto"/>
                    <w:bottom w:val="none" w:sz="0" w:space="0" w:color="auto"/>
                    <w:right w:val="none" w:sz="0" w:space="0" w:color="auto"/>
                  </w:divBdr>
                  <w:divsChild>
                    <w:div w:id="114445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92816911">
      <w:bodyDiv w:val="1"/>
      <w:marLeft w:val="0"/>
      <w:marRight w:val="0"/>
      <w:marTop w:val="0"/>
      <w:marBottom w:val="0"/>
      <w:divBdr>
        <w:top w:val="none" w:sz="0" w:space="0" w:color="auto"/>
        <w:left w:val="none" w:sz="0" w:space="0" w:color="auto"/>
        <w:bottom w:val="none" w:sz="0" w:space="0" w:color="auto"/>
        <w:right w:val="none" w:sz="0" w:space="0" w:color="auto"/>
      </w:divBdr>
    </w:div>
    <w:div w:id="1810785291">
      <w:bodyDiv w:val="1"/>
      <w:marLeft w:val="0"/>
      <w:marRight w:val="0"/>
      <w:marTop w:val="0"/>
      <w:marBottom w:val="0"/>
      <w:divBdr>
        <w:top w:val="none" w:sz="0" w:space="0" w:color="auto"/>
        <w:left w:val="none" w:sz="0" w:space="0" w:color="auto"/>
        <w:bottom w:val="none" w:sz="0" w:space="0" w:color="auto"/>
        <w:right w:val="none" w:sz="0" w:space="0" w:color="auto"/>
      </w:divBdr>
      <w:divsChild>
        <w:div w:id="81993923">
          <w:marLeft w:val="0"/>
          <w:marRight w:val="0"/>
          <w:marTop w:val="150"/>
          <w:marBottom w:val="270"/>
          <w:divBdr>
            <w:top w:val="none" w:sz="0" w:space="0" w:color="auto"/>
            <w:left w:val="none" w:sz="0" w:space="0" w:color="auto"/>
            <w:bottom w:val="none" w:sz="0" w:space="0" w:color="auto"/>
            <w:right w:val="none" w:sz="0" w:space="0" w:color="auto"/>
          </w:divBdr>
          <w:divsChild>
            <w:div w:id="284192794">
              <w:marLeft w:val="0"/>
              <w:marRight w:val="0"/>
              <w:marTop w:val="0"/>
              <w:marBottom w:val="0"/>
              <w:divBdr>
                <w:top w:val="none" w:sz="0" w:space="0" w:color="auto"/>
                <w:left w:val="none" w:sz="0" w:space="0" w:color="auto"/>
                <w:bottom w:val="none" w:sz="0" w:space="0" w:color="auto"/>
                <w:right w:val="none" w:sz="0" w:space="0" w:color="auto"/>
              </w:divBdr>
            </w:div>
            <w:div w:id="1055277110">
              <w:marLeft w:val="0"/>
              <w:marRight w:val="0"/>
              <w:marTop w:val="0"/>
              <w:marBottom w:val="0"/>
              <w:divBdr>
                <w:top w:val="none" w:sz="0" w:space="0" w:color="auto"/>
                <w:left w:val="none" w:sz="0" w:space="0" w:color="auto"/>
                <w:bottom w:val="none" w:sz="0" w:space="0" w:color="auto"/>
                <w:right w:val="none" w:sz="0" w:space="0" w:color="auto"/>
              </w:divBdr>
            </w:div>
            <w:div w:id="1818569417">
              <w:marLeft w:val="0"/>
              <w:marRight w:val="0"/>
              <w:marTop w:val="0"/>
              <w:marBottom w:val="0"/>
              <w:divBdr>
                <w:top w:val="none" w:sz="0" w:space="0" w:color="auto"/>
                <w:left w:val="none" w:sz="0" w:space="0" w:color="auto"/>
                <w:bottom w:val="none" w:sz="0" w:space="0" w:color="auto"/>
                <w:right w:val="none" w:sz="0" w:space="0" w:color="auto"/>
              </w:divBdr>
            </w:div>
          </w:divsChild>
        </w:div>
        <w:div w:id="1212615205">
          <w:marLeft w:val="0"/>
          <w:marRight w:val="0"/>
          <w:marTop w:val="150"/>
          <w:marBottom w:val="270"/>
          <w:divBdr>
            <w:top w:val="none" w:sz="0" w:space="0" w:color="auto"/>
            <w:left w:val="none" w:sz="0" w:space="0" w:color="auto"/>
            <w:bottom w:val="none" w:sz="0" w:space="0" w:color="auto"/>
            <w:right w:val="none" w:sz="0" w:space="0" w:color="auto"/>
          </w:divBdr>
          <w:divsChild>
            <w:div w:id="1909219283">
              <w:marLeft w:val="0"/>
              <w:marRight w:val="0"/>
              <w:marTop w:val="0"/>
              <w:marBottom w:val="0"/>
              <w:divBdr>
                <w:top w:val="none" w:sz="0" w:space="0" w:color="auto"/>
                <w:left w:val="none" w:sz="0" w:space="0" w:color="auto"/>
                <w:bottom w:val="none" w:sz="0" w:space="0" w:color="auto"/>
                <w:right w:val="none" w:sz="0" w:space="0" w:color="auto"/>
              </w:divBdr>
            </w:div>
          </w:divsChild>
        </w:div>
        <w:div w:id="2130851288">
          <w:marLeft w:val="0"/>
          <w:marRight w:val="0"/>
          <w:marTop w:val="150"/>
          <w:marBottom w:val="270"/>
          <w:divBdr>
            <w:top w:val="none" w:sz="0" w:space="0" w:color="auto"/>
            <w:left w:val="none" w:sz="0" w:space="0" w:color="auto"/>
            <w:bottom w:val="none" w:sz="0" w:space="0" w:color="auto"/>
            <w:right w:val="none" w:sz="0" w:space="0" w:color="auto"/>
          </w:divBdr>
          <w:divsChild>
            <w:div w:id="1152209542">
              <w:marLeft w:val="0"/>
              <w:marRight w:val="0"/>
              <w:marTop w:val="0"/>
              <w:marBottom w:val="0"/>
              <w:divBdr>
                <w:top w:val="none" w:sz="0" w:space="0" w:color="auto"/>
                <w:left w:val="none" w:sz="0" w:space="0" w:color="auto"/>
                <w:bottom w:val="none" w:sz="0" w:space="0" w:color="auto"/>
                <w:right w:val="none" w:sz="0" w:space="0" w:color="auto"/>
              </w:divBdr>
            </w:div>
            <w:div w:id="308174407">
              <w:marLeft w:val="0"/>
              <w:marRight w:val="0"/>
              <w:marTop w:val="0"/>
              <w:marBottom w:val="0"/>
              <w:divBdr>
                <w:top w:val="none" w:sz="0" w:space="0" w:color="auto"/>
                <w:left w:val="none" w:sz="0" w:space="0" w:color="auto"/>
                <w:bottom w:val="none" w:sz="0" w:space="0" w:color="auto"/>
                <w:right w:val="none" w:sz="0" w:space="0" w:color="auto"/>
              </w:divBdr>
            </w:div>
          </w:divsChild>
        </w:div>
        <w:div w:id="273219940">
          <w:marLeft w:val="0"/>
          <w:marRight w:val="0"/>
          <w:marTop w:val="150"/>
          <w:marBottom w:val="270"/>
          <w:divBdr>
            <w:top w:val="none" w:sz="0" w:space="0" w:color="auto"/>
            <w:left w:val="none" w:sz="0" w:space="0" w:color="auto"/>
            <w:bottom w:val="none" w:sz="0" w:space="0" w:color="auto"/>
            <w:right w:val="none" w:sz="0" w:space="0" w:color="auto"/>
          </w:divBdr>
          <w:divsChild>
            <w:div w:id="1116023516">
              <w:marLeft w:val="0"/>
              <w:marRight w:val="0"/>
              <w:marTop w:val="0"/>
              <w:marBottom w:val="0"/>
              <w:divBdr>
                <w:top w:val="none" w:sz="0" w:space="0" w:color="auto"/>
                <w:left w:val="none" w:sz="0" w:space="0" w:color="auto"/>
                <w:bottom w:val="none" w:sz="0" w:space="0" w:color="auto"/>
                <w:right w:val="none" w:sz="0" w:space="0" w:color="auto"/>
              </w:divBdr>
            </w:div>
            <w:div w:id="1424035231">
              <w:marLeft w:val="0"/>
              <w:marRight w:val="0"/>
              <w:marTop w:val="0"/>
              <w:marBottom w:val="0"/>
              <w:divBdr>
                <w:top w:val="none" w:sz="0" w:space="0" w:color="auto"/>
                <w:left w:val="none" w:sz="0" w:space="0" w:color="auto"/>
                <w:bottom w:val="none" w:sz="0" w:space="0" w:color="auto"/>
                <w:right w:val="none" w:sz="0" w:space="0" w:color="auto"/>
              </w:divBdr>
            </w:div>
            <w:div w:id="230234951">
              <w:marLeft w:val="0"/>
              <w:marRight w:val="0"/>
              <w:marTop w:val="0"/>
              <w:marBottom w:val="0"/>
              <w:divBdr>
                <w:top w:val="none" w:sz="0" w:space="0" w:color="auto"/>
                <w:left w:val="none" w:sz="0" w:space="0" w:color="auto"/>
                <w:bottom w:val="none" w:sz="0" w:space="0" w:color="auto"/>
                <w:right w:val="none" w:sz="0" w:space="0" w:color="auto"/>
              </w:divBdr>
            </w:div>
            <w:div w:id="1996715504">
              <w:marLeft w:val="0"/>
              <w:marRight w:val="0"/>
              <w:marTop w:val="0"/>
              <w:marBottom w:val="0"/>
              <w:divBdr>
                <w:top w:val="none" w:sz="0" w:space="0" w:color="auto"/>
                <w:left w:val="none" w:sz="0" w:space="0" w:color="auto"/>
                <w:bottom w:val="none" w:sz="0" w:space="0" w:color="auto"/>
                <w:right w:val="none" w:sz="0" w:space="0" w:color="auto"/>
              </w:divBdr>
            </w:div>
            <w:div w:id="509442895">
              <w:marLeft w:val="0"/>
              <w:marRight w:val="0"/>
              <w:marTop w:val="0"/>
              <w:marBottom w:val="0"/>
              <w:divBdr>
                <w:top w:val="none" w:sz="0" w:space="0" w:color="auto"/>
                <w:left w:val="none" w:sz="0" w:space="0" w:color="auto"/>
                <w:bottom w:val="none" w:sz="0" w:space="0" w:color="auto"/>
                <w:right w:val="none" w:sz="0" w:space="0" w:color="auto"/>
              </w:divBdr>
            </w:div>
            <w:div w:id="875892910">
              <w:marLeft w:val="0"/>
              <w:marRight w:val="0"/>
              <w:marTop w:val="0"/>
              <w:marBottom w:val="0"/>
              <w:divBdr>
                <w:top w:val="none" w:sz="0" w:space="0" w:color="auto"/>
                <w:left w:val="none" w:sz="0" w:space="0" w:color="auto"/>
                <w:bottom w:val="none" w:sz="0" w:space="0" w:color="auto"/>
                <w:right w:val="none" w:sz="0" w:space="0" w:color="auto"/>
              </w:divBdr>
            </w:div>
            <w:div w:id="34697288">
              <w:marLeft w:val="0"/>
              <w:marRight w:val="0"/>
              <w:marTop w:val="0"/>
              <w:marBottom w:val="0"/>
              <w:divBdr>
                <w:top w:val="none" w:sz="0" w:space="0" w:color="auto"/>
                <w:left w:val="none" w:sz="0" w:space="0" w:color="auto"/>
                <w:bottom w:val="none" w:sz="0" w:space="0" w:color="auto"/>
                <w:right w:val="none" w:sz="0" w:space="0" w:color="auto"/>
              </w:divBdr>
            </w:div>
            <w:div w:id="6396508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299124">
      <w:bodyDiv w:val="1"/>
      <w:marLeft w:val="0"/>
      <w:marRight w:val="0"/>
      <w:marTop w:val="0"/>
      <w:marBottom w:val="0"/>
      <w:divBdr>
        <w:top w:val="none" w:sz="0" w:space="0" w:color="auto"/>
        <w:left w:val="none" w:sz="0" w:space="0" w:color="auto"/>
        <w:bottom w:val="none" w:sz="0" w:space="0" w:color="auto"/>
        <w:right w:val="none" w:sz="0" w:space="0" w:color="auto"/>
      </w:divBdr>
    </w:div>
    <w:div w:id="1847205912">
      <w:bodyDiv w:val="1"/>
      <w:marLeft w:val="0"/>
      <w:marRight w:val="0"/>
      <w:marTop w:val="0"/>
      <w:marBottom w:val="0"/>
      <w:divBdr>
        <w:top w:val="none" w:sz="0" w:space="0" w:color="auto"/>
        <w:left w:val="none" w:sz="0" w:space="0" w:color="auto"/>
        <w:bottom w:val="none" w:sz="0" w:space="0" w:color="auto"/>
        <w:right w:val="none" w:sz="0" w:space="0" w:color="auto"/>
      </w:divBdr>
    </w:div>
    <w:div w:id="1873306076">
      <w:bodyDiv w:val="1"/>
      <w:marLeft w:val="0"/>
      <w:marRight w:val="0"/>
      <w:marTop w:val="0"/>
      <w:marBottom w:val="0"/>
      <w:divBdr>
        <w:top w:val="none" w:sz="0" w:space="0" w:color="auto"/>
        <w:left w:val="none" w:sz="0" w:space="0" w:color="auto"/>
        <w:bottom w:val="none" w:sz="0" w:space="0" w:color="auto"/>
        <w:right w:val="none" w:sz="0" w:space="0" w:color="auto"/>
      </w:divBdr>
    </w:div>
    <w:div w:id="1886983778">
      <w:bodyDiv w:val="1"/>
      <w:marLeft w:val="0"/>
      <w:marRight w:val="0"/>
      <w:marTop w:val="0"/>
      <w:marBottom w:val="0"/>
      <w:divBdr>
        <w:top w:val="none" w:sz="0" w:space="0" w:color="auto"/>
        <w:left w:val="none" w:sz="0" w:space="0" w:color="auto"/>
        <w:bottom w:val="none" w:sz="0" w:space="0" w:color="auto"/>
        <w:right w:val="none" w:sz="0" w:space="0" w:color="auto"/>
      </w:divBdr>
    </w:div>
    <w:div w:id="1890996058">
      <w:bodyDiv w:val="1"/>
      <w:marLeft w:val="0"/>
      <w:marRight w:val="0"/>
      <w:marTop w:val="0"/>
      <w:marBottom w:val="0"/>
      <w:divBdr>
        <w:top w:val="none" w:sz="0" w:space="0" w:color="auto"/>
        <w:left w:val="none" w:sz="0" w:space="0" w:color="auto"/>
        <w:bottom w:val="none" w:sz="0" w:space="0" w:color="auto"/>
        <w:right w:val="none" w:sz="0" w:space="0" w:color="auto"/>
      </w:divBdr>
    </w:div>
    <w:div w:id="1913932855">
      <w:bodyDiv w:val="1"/>
      <w:marLeft w:val="0"/>
      <w:marRight w:val="0"/>
      <w:marTop w:val="0"/>
      <w:marBottom w:val="0"/>
      <w:divBdr>
        <w:top w:val="none" w:sz="0" w:space="0" w:color="auto"/>
        <w:left w:val="none" w:sz="0" w:space="0" w:color="auto"/>
        <w:bottom w:val="none" w:sz="0" w:space="0" w:color="auto"/>
        <w:right w:val="none" w:sz="0" w:space="0" w:color="auto"/>
      </w:divBdr>
    </w:div>
    <w:div w:id="1931312189">
      <w:bodyDiv w:val="1"/>
      <w:marLeft w:val="0"/>
      <w:marRight w:val="0"/>
      <w:marTop w:val="0"/>
      <w:marBottom w:val="0"/>
      <w:divBdr>
        <w:top w:val="none" w:sz="0" w:space="0" w:color="auto"/>
        <w:left w:val="none" w:sz="0" w:space="0" w:color="auto"/>
        <w:bottom w:val="none" w:sz="0" w:space="0" w:color="auto"/>
        <w:right w:val="none" w:sz="0" w:space="0" w:color="auto"/>
      </w:divBdr>
    </w:div>
    <w:div w:id="1962222485">
      <w:bodyDiv w:val="1"/>
      <w:marLeft w:val="0"/>
      <w:marRight w:val="0"/>
      <w:marTop w:val="0"/>
      <w:marBottom w:val="0"/>
      <w:divBdr>
        <w:top w:val="none" w:sz="0" w:space="0" w:color="auto"/>
        <w:left w:val="none" w:sz="0" w:space="0" w:color="auto"/>
        <w:bottom w:val="none" w:sz="0" w:space="0" w:color="auto"/>
        <w:right w:val="none" w:sz="0" w:space="0" w:color="auto"/>
      </w:divBdr>
    </w:div>
    <w:div w:id="1976596567">
      <w:bodyDiv w:val="1"/>
      <w:marLeft w:val="0"/>
      <w:marRight w:val="0"/>
      <w:marTop w:val="0"/>
      <w:marBottom w:val="0"/>
      <w:divBdr>
        <w:top w:val="none" w:sz="0" w:space="0" w:color="auto"/>
        <w:left w:val="none" w:sz="0" w:space="0" w:color="auto"/>
        <w:bottom w:val="none" w:sz="0" w:space="0" w:color="auto"/>
        <w:right w:val="none" w:sz="0" w:space="0" w:color="auto"/>
      </w:divBdr>
    </w:div>
    <w:div w:id="1981298385">
      <w:bodyDiv w:val="1"/>
      <w:marLeft w:val="0"/>
      <w:marRight w:val="0"/>
      <w:marTop w:val="0"/>
      <w:marBottom w:val="0"/>
      <w:divBdr>
        <w:top w:val="none" w:sz="0" w:space="0" w:color="auto"/>
        <w:left w:val="none" w:sz="0" w:space="0" w:color="auto"/>
        <w:bottom w:val="none" w:sz="0" w:space="0" w:color="auto"/>
        <w:right w:val="none" w:sz="0" w:space="0" w:color="auto"/>
      </w:divBdr>
    </w:div>
    <w:div w:id="2080980140">
      <w:bodyDiv w:val="1"/>
      <w:marLeft w:val="0"/>
      <w:marRight w:val="0"/>
      <w:marTop w:val="0"/>
      <w:marBottom w:val="0"/>
      <w:divBdr>
        <w:top w:val="none" w:sz="0" w:space="0" w:color="auto"/>
        <w:left w:val="none" w:sz="0" w:space="0" w:color="auto"/>
        <w:bottom w:val="none" w:sz="0" w:space="0" w:color="auto"/>
        <w:right w:val="none" w:sz="0" w:space="0" w:color="auto"/>
      </w:divBdr>
      <w:divsChild>
        <w:div w:id="1266577349">
          <w:marLeft w:val="0"/>
          <w:marRight w:val="0"/>
          <w:marTop w:val="0"/>
          <w:marBottom w:val="0"/>
          <w:divBdr>
            <w:top w:val="none" w:sz="0" w:space="0" w:color="auto"/>
            <w:left w:val="none" w:sz="0" w:space="0" w:color="auto"/>
            <w:bottom w:val="none" w:sz="0" w:space="0" w:color="auto"/>
            <w:right w:val="none" w:sz="0" w:space="0" w:color="auto"/>
          </w:divBdr>
        </w:div>
      </w:divsChild>
    </w:div>
    <w:div w:id="2083404310">
      <w:bodyDiv w:val="1"/>
      <w:marLeft w:val="0"/>
      <w:marRight w:val="0"/>
      <w:marTop w:val="0"/>
      <w:marBottom w:val="0"/>
      <w:divBdr>
        <w:top w:val="none" w:sz="0" w:space="0" w:color="auto"/>
        <w:left w:val="none" w:sz="0" w:space="0" w:color="auto"/>
        <w:bottom w:val="none" w:sz="0" w:space="0" w:color="auto"/>
        <w:right w:val="none" w:sz="0" w:space="0" w:color="auto"/>
      </w:divBdr>
    </w:div>
    <w:div w:id="21176756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a.lowden@ids.ac.uk"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2.xml"/><Relationship Id="rId17" Type="http://schemas.openxmlformats.org/officeDocument/2006/relationships/hyperlink" Target="mailto:nina.gobat@phc.ox.ac.uk" TargetMode="External"/><Relationship Id="rId2" Type="http://schemas.openxmlformats.org/officeDocument/2006/relationships/customXml" Target="../customXml/item2.xml"/><Relationship Id="rId16" Type="http://schemas.openxmlformats.org/officeDocument/2006/relationships/hyperlink" Target="mailto:ombretta.baggio@ifrc.org"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hyperlink" Target="mailto:nnaqvi@unicef.org" TargetMode="Externa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oliviatulloch@anthrologica.com"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FE5725F68A6014792BB49E5D0B06913" ma:contentTypeVersion="9" ma:contentTypeDescription="Create a new document." ma:contentTypeScope="" ma:versionID="b4ec0f27645f276ae69d1900ebcd8986">
  <xsd:schema xmlns:xsd="http://www.w3.org/2001/XMLSchema" xmlns:xs="http://www.w3.org/2001/XMLSchema" xmlns:p="http://schemas.microsoft.com/office/2006/metadata/properties" xmlns:ns2="5a1e5d89-a2a0-41bf-b621-0bb94c6e8b63" targetNamespace="http://schemas.microsoft.com/office/2006/metadata/properties" ma:root="true" ma:fieldsID="3ef8b567c9c483172618ddc1917cbf71" ns2:_="">
    <xsd:import namespace="5a1e5d89-a2a0-41bf-b621-0bb94c6e8b6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1e5d89-a2a0-41bf-b621-0bb94c6e8b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BF656C8-8C13-4578-AB91-9B8ADC2B798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1e5d89-a2a0-41bf-b621-0bb94c6e8b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5B7CA68-750A-442F-900F-0EBFA657C48A}">
  <ds:schemaRefs>
    <ds:schemaRef ds:uri="http://schemas.microsoft.com/office/2006/metadata/properties"/>
    <ds:schemaRef ds:uri="http://schemas.microsoft.com/office/infopath/2007/PartnerControls"/>
    <ds:schemaRef ds:uri="http://schemas.microsoft.com/sharepoint/v3"/>
    <ds:schemaRef ds:uri="f9bb0f4b-0ab8-479b-9829-eaee6f9a44ff"/>
  </ds:schemaRefs>
</ds:datastoreItem>
</file>

<file path=customXml/itemProps3.xml><?xml version="1.0" encoding="utf-8"?>
<ds:datastoreItem xmlns:ds="http://schemas.openxmlformats.org/officeDocument/2006/customXml" ds:itemID="{BD115F23-9085-42E3-9C51-644D65C424DA}">
  <ds:schemaRefs>
    <ds:schemaRef ds:uri="http://schemas.microsoft.com/sharepoint/v3/contenttype/forms"/>
  </ds:schemaRefs>
</ds:datastoreItem>
</file>

<file path=customXml/itemProps4.xml><?xml version="1.0" encoding="utf-8"?>
<ds:datastoreItem xmlns:ds="http://schemas.openxmlformats.org/officeDocument/2006/customXml" ds:itemID="{FBAF74FC-6EBA-E542-A55B-BA78A02A6B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16</Pages>
  <Words>17033</Words>
  <Characters>97093</Characters>
  <Application>Microsoft Office Word</Application>
  <DocSecurity>0</DocSecurity>
  <Lines>809</Lines>
  <Paragraphs>227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Megan Schmidt-Sane</dc:creator>
  <cp:keywords/>
  <dc:description/>
  <cp:lastModifiedBy>Admin</cp:lastModifiedBy>
  <cp:revision>3</cp:revision>
  <cp:lastPrinted>2020-02-28T17:35:00Z</cp:lastPrinted>
  <dcterms:created xsi:type="dcterms:W3CDTF">2020-09-17T17:45:00Z</dcterms:created>
  <dcterms:modified xsi:type="dcterms:W3CDTF">2020-09-23T15:01:00Z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0x0101008FE5725F68A6014792BB49E5D0B06913</vt:lpwstr>
  </property>
  <property fmtid="{D5CDD505-2E9C-101B-9397-08002B2CF9AE}" pid="3" name="Mendeley Recent Style Id 0_1">
    <vt:lpwstr>http://www.zotero.org/styles/american-political-science-association</vt:lpwstr>
  </property>
  <property fmtid="{D5CDD505-2E9C-101B-9397-08002B2CF9AE}" pid="4" name="Mendeley Recent Style Name 0_1">
    <vt:lpwstr>American Political Science Association</vt:lpwstr>
  </property>
  <property fmtid="{D5CDD505-2E9C-101B-9397-08002B2CF9AE}" pid="5" name="Mendeley Recent Style Id 1_1">
    <vt:lpwstr>http://www.zotero.org/styles/apa</vt:lpwstr>
  </property>
  <property fmtid="{D5CDD505-2E9C-101B-9397-08002B2CF9AE}" pid="6" name="Mendeley Recent Style Name 1_1">
    <vt:lpwstr>American Psychological Association 7th edition</vt:lpwstr>
  </property>
  <property fmtid="{D5CDD505-2E9C-101B-9397-08002B2CF9AE}" pid="7" name="Mendeley Recent Style Id 2_1">
    <vt:lpwstr>http://www.zotero.org/styles/american-sociological-association</vt:lpwstr>
  </property>
  <property fmtid="{D5CDD505-2E9C-101B-9397-08002B2CF9AE}" pid="8" name="Mendeley Recent Style Name 2_1">
    <vt:lpwstr>American Sociological Association</vt:lpwstr>
  </property>
  <property fmtid="{D5CDD505-2E9C-101B-9397-08002B2CF9AE}" pid="9" name="Mendeley Recent Style Id 3_1">
    <vt:lpwstr>http://www.zotero.org/styles/chicago-author-date</vt:lpwstr>
  </property>
  <property fmtid="{D5CDD505-2E9C-101B-9397-08002B2CF9AE}" pid="10" name="Mendeley Recent Style Name 3_1">
    <vt:lpwstr>Chicago Manual of Style 17th edition (author-date)</vt:lpwstr>
  </property>
  <property fmtid="{D5CDD505-2E9C-101B-9397-08002B2CF9AE}" pid="11" name="Mendeley Recent Style Id 4_1">
    <vt:lpwstr>http://www.zotero.org/styles/harvard-cite-them-right</vt:lpwstr>
  </property>
  <property fmtid="{D5CDD505-2E9C-101B-9397-08002B2CF9AE}" pid="12" name="Mendeley Recent Style Name 4_1">
    <vt:lpwstr>Cite Them Right 10th edition - Harvard</vt:lpwstr>
  </property>
  <property fmtid="{D5CDD505-2E9C-101B-9397-08002B2CF9AE}" pid="13" name="Mendeley Recent Style Id 5_1">
    <vt:lpwstr>http://www.zotero.org/styles/ieee</vt:lpwstr>
  </property>
  <property fmtid="{D5CDD505-2E9C-101B-9397-08002B2CF9AE}" pid="14" name="Mendeley Recent Style Name 5_1">
    <vt:lpwstr>IEEE</vt:lpwstr>
  </property>
  <property fmtid="{D5CDD505-2E9C-101B-9397-08002B2CF9AE}" pid="15" name="Mendeley Recent Style Id 6_1">
    <vt:lpwstr>http://www.zotero.org/styles/springer-socpsych-brackets</vt:lpwstr>
  </property>
  <property fmtid="{D5CDD505-2E9C-101B-9397-08002B2CF9AE}" pid="16" name="Mendeley Recent Style Name 6_1">
    <vt:lpwstr>Springer - SocPsych (numeric, brackets)</vt:lpwstr>
  </property>
  <property fmtid="{D5CDD505-2E9C-101B-9397-08002B2CF9AE}" pid="17" name="Mendeley Recent Style Id 7_1">
    <vt:lpwstr>http://csl.mendeley.com/styles/527254251/springer-socpsych-brackets</vt:lpwstr>
  </property>
  <property fmtid="{D5CDD505-2E9C-101B-9397-08002B2CF9AE}" pid="18" name="Mendeley Recent Style Name 7_1">
    <vt:lpwstr>Springer - SocPsych (numeric, brackets) - Megan Schmidt-Sane</vt:lpwstr>
  </property>
  <property fmtid="{D5CDD505-2E9C-101B-9397-08002B2CF9AE}" pid="19" name="Mendeley Recent Style Id 8_1">
    <vt:lpwstr>http://csl.mendeley.com/styles/527254251/springer-socpsych-brackets-2fin</vt:lpwstr>
  </property>
  <property fmtid="{D5CDD505-2E9C-101B-9397-08002B2CF9AE}" pid="20" name="Mendeley Recent Style Name 8_1">
    <vt:lpwstr>Springer - SocPsych (numeric, brackets) - Megan Schmidt-Sane</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fe7fd405-d2c5-3a0a-a672-75808fd7d585</vt:lpwstr>
  </property>
  <property fmtid="{D5CDD505-2E9C-101B-9397-08002B2CF9AE}" pid="25" name="Mendeley Citation Style_1">
    <vt:lpwstr>http://csl.mendeley.com/styles/527254251/springer-socpsych-brackets-2fin</vt:lpwstr>
  </property>
</Properties>
</file>