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BEFAE" w14:textId="77777777" w:rsidR="00AC6FD1" w:rsidRPr="005739CA" w:rsidRDefault="00232CDD" w:rsidP="005739CA">
      <w:pPr>
        <w:jc w:val="center"/>
        <w:outlineLvl w:val="0"/>
        <w:rPr>
          <w:sz w:val="22"/>
          <w:szCs w:val="22"/>
        </w:rPr>
      </w:pPr>
      <w:bookmarkStart w:id="0" w:name="bookmark0"/>
      <w:r w:rsidRPr="005739CA">
        <w:rPr>
          <w:b/>
          <w:bCs/>
          <w:sz w:val="22"/>
          <w:szCs w:val="22"/>
        </w:rPr>
        <w:t>ДОГОВОР ПОСТАВКИ</w:t>
      </w:r>
      <w:bookmarkEnd w:id="0"/>
    </w:p>
    <w:p w14:paraId="47D69544" w14:textId="1D72865C" w:rsidR="00AC6FD1" w:rsidRPr="005739CA" w:rsidRDefault="00232CDD" w:rsidP="005739CA">
      <w:pPr>
        <w:spacing w:after="240"/>
        <w:jc w:val="center"/>
        <w:outlineLvl w:val="0"/>
        <w:rPr>
          <w:sz w:val="22"/>
          <w:szCs w:val="22"/>
        </w:rPr>
      </w:pPr>
      <w:bookmarkStart w:id="1" w:name="bookmark1"/>
      <w:r w:rsidRPr="005739CA">
        <w:rPr>
          <w:b/>
          <w:bCs/>
          <w:sz w:val="22"/>
          <w:szCs w:val="22"/>
        </w:rPr>
        <w:t xml:space="preserve">ЛЕКАРСТВЕННЫХ ПРЕПАРАТОВ </w:t>
      </w:r>
      <w:proofErr w:type="spellStart"/>
      <w:r w:rsidR="00C13735">
        <w:rPr>
          <w:b/>
          <w:bCs/>
          <w:sz w:val="22"/>
          <w:szCs w:val="22"/>
          <w:lang w:eastAsia="en-US" w:bidi="en-US"/>
        </w:rPr>
        <w:t>No</w:t>
      </w:r>
      <w:proofErr w:type="spellEnd"/>
      <w:r w:rsidR="00C13735">
        <w:rPr>
          <w:b/>
          <w:bCs/>
          <w:sz w:val="22"/>
          <w:szCs w:val="22"/>
          <w:lang w:eastAsia="en-US" w:bidi="en-US"/>
        </w:rPr>
        <w:t xml:space="preserve">. </w:t>
      </w:r>
      <w:r w:rsidR="00C13735" w:rsidRPr="005739CA">
        <w:rPr>
          <w:b/>
          <w:bCs/>
          <w:sz w:val="22"/>
          <w:szCs w:val="22"/>
          <w:lang w:eastAsia="en-US" w:bidi="en-US"/>
        </w:rPr>
        <w:t>1</w:t>
      </w:r>
      <w:r w:rsidRPr="005739CA">
        <w:rPr>
          <w:b/>
          <w:bCs/>
          <w:sz w:val="22"/>
          <w:szCs w:val="22"/>
          <w:lang w:eastAsia="en-US" w:bidi="en-US"/>
        </w:rPr>
        <w:t>2-</w:t>
      </w:r>
      <w:r w:rsidRPr="005739CA">
        <w:rPr>
          <w:b/>
          <w:bCs/>
          <w:sz w:val="22"/>
          <w:szCs w:val="22"/>
          <w:lang w:val="en-US" w:eastAsia="en-US" w:bidi="en-US"/>
        </w:rPr>
        <w:t>PF</w:t>
      </w:r>
      <w:r w:rsidRPr="005739CA">
        <w:rPr>
          <w:b/>
          <w:bCs/>
          <w:sz w:val="22"/>
          <w:szCs w:val="22"/>
          <w:lang w:eastAsia="en-US" w:bidi="en-US"/>
        </w:rPr>
        <w:t>-</w:t>
      </w:r>
      <w:r w:rsidRPr="005739CA">
        <w:rPr>
          <w:b/>
          <w:bCs/>
          <w:sz w:val="22"/>
          <w:szCs w:val="22"/>
          <w:lang w:val="en-US" w:eastAsia="en-US" w:bidi="en-US"/>
        </w:rPr>
        <w:t>INV</w:t>
      </w:r>
      <w:r w:rsidRPr="005739CA">
        <w:rPr>
          <w:b/>
          <w:bCs/>
          <w:sz w:val="22"/>
          <w:szCs w:val="22"/>
          <w:lang w:eastAsia="en-US" w:bidi="en-US"/>
        </w:rPr>
        <w:t>/2016</w:t>
      </w:r>
      <w:bookmarkEnd w:id="1"/>
    </w:p>
    <w:tbl>
      <w:tblPr>
        <w:tblOverlap w:val="never"/>
        <w:tblW w:w="5000" w:type="pct"/>
        <w:tblLayout w:type="fixed"/>
        <w:tblCellMar>
          <w:left w:w="10" w:type="dxa"/>
          <w:right w:w="10" w:type="dxa"/>
        </w:tblCellMar>
        <w:tblLook w:val="04A0" w:firstRow="1" w:lastRow="0" w:firstColumn="1" w:lastColumn="0" w:noHBand="0" w:noVBand="1"/>
      </w:tblPr>
      <w:tblGrid>
        <w:gridCol w:w="5310"/>
        <w:gridCol w:w="5490"/>
      </w:tblGrid>
      <w:tr w:rsidR="00AC6FD1" w:rsidRPr="005739CA" w14:paraId="10A10C4A" w14:textId="77777777" w:rsidTr="005739CA">
        <w:trPr>
          <w:trHeight w:val="57"/>
        </w:trPr>
        <w:tc>
          <w:tcPr>
            <w:tcW w:w="5209" w:type="dxa"/>
            <w:shd w:val="clear" w:color="auto" w:fill="FFFFFF"/>
            <w:vAlign w:val="bottom"/>
          </w:tcPr>
          <w:p w14:paraId="0E292E3E" w14:textId="77777777" w:rsidR="00AC6FD1" w:rsidRPr="005739CA" w:rsidRDefault="00232CDD" w:rsidP="00AA17FE">
            <w:pPr>
              <w:jc w:val="both"/>
              <w:rPr>
                <w:sz w:val="22"/>
                <w:szCs w:val="22"/>
              </w:rPr>
            </w:pPr>
            <w:r w:rsidRPr="005739CA">
              <w:rPr>
                <w:sz w:val="22"/>
                <w:szCs w:val="22"/>
              </w:rPr>
              <w:t>г, Москва</w:t>
            </w:r>
          </w:p>
        </w:tc>
        <w:tc>
          <w:tcPr>
            <w:tcW w:w="5386" w:type="dxa"/>
            <w:shd w:val="clear" w:color="auto" w:fill="FFFFFF"/>
            <w:vAlign w:val="bottom"/>
          </w:tcPr>
          <w:p w14:paraId="5CDFCBFA" w14:textId="1554FFAA" w:rsidR="00AC6FD1" w:rsidRPr="005739CA" w:rsidRDefault="00C13735" w:rsidP="005739CA">
            <w:pPr>
              <w:jc w:val="right"/>
              <w:rPr>
                <w:sz w:val="22"/>
                <w:szCs w:val="22"/>
              </w:rPr>
            </w:pPr>
            <w:r>
              <w:rPr>
                <w:sz w:val="22"/>
                <w:szCs w:val="22"/>
              </w:rPr>
              <w:t>“</w:t>
            </w:r>
            <w:r w:rsidR="00232CDD" w:rsidRPr="005739CA">
              <w:rPr>
                <w:sz w:val="22"/>
                <w:szCs w:val="22"/>
              </w:rPr>
              <w:t>01</w:t>
            </w:r>
            <w:r>
              <w:rPr>
                <w:sz w:val="22"/>
                <w:szCs w:val="22"/>
              </w:rPr>
              <w:t>”</w:t>
            </w:r>
            <w:r w:rsidR="00232CDD" w:rsidRPr="005739CA">
              <w:rPr>
                <w:sz w:val="22"/>
                <w:szCs w:val="22"/>
              </w:rPr>
              <w:t xml:space="preserve"> декабря 201</w:t>
            </w:r>
            <w:r w:rsidRPr="005739CA">
              <w:rPr>
                <w:sz w:val="22"/>
                <w:szCs w:val="22"/>
              </w:rPr>
              <w:t>5</w:t>
            </w:r>
          </w:p>
        </w:tc>
      </w:tr>
    </w:tbl>
    <w:p w14:paraId="0D613DE4" w14:textId="2BA3D2C8" w:rsidR="00AC6FD1" w:rsidRPr="005739CA" w:rsidRDefault="00232CDD" w:rsidP="005739CA">
      <w:pPr>
        <w:spacing w:before="240"/>
        <w:jc w:val="both"/>
        <w:rPr>
          <w:sz w:val="22"/>
          <w:szCs w:val="22"/>
        </w:rPr>
      </w:pPr>
      <w:r w:rsidRPr="005739CA">
        <w:rPr>
          <w:sz w:val="22"/>
          <w:szCs w:val="22"/>
        </w:rPr>
        <w:t xml:space="preserve">Общество с ограниченной ответственностью </w:t>
      </w:r>
      <w:r w:rsidR="00C13735">
        <w:rPr>
          <w:b/>
          <w:bCs/>
          <w:sz w:val="22"/>
          <w:szCs w:val="22"/>
        </w:rPr>
        <w:t>“</w:t>
      </w:r>
      <w:r w:rsidRPr="005739CA">
        <w:rPr>
          <w:b/>
          <w:bCs/>
          <w:sz w:val="22"/>
          <w:szCs w:val="22"/>
        </w:rPr>
        <w:t>Пфайзер Инновации</w:t>
      </w:r>
      <w:r w:rsidR="00C13735">
        <w:rPr>
          <w:b/>
          <w:bCs/>
          <w:sz w:val="22"/>
          <w:szCs w:val="22"/>
        </w:rPr>
        <w:t>”</w:t>
      </w:r>
      <w:r w:rsidRPr="005739CA">
        <w:rPr>
          <w:b/>
          <w:bCs/>
          <w:sz w:val="22"/>
          <w:szCs w:val="22"/>
        </w:rPr>
        <w:t>,</w:t>
      </w:r>
      <w:r w:rsidRPr="005739CA">
        <w:rPr>
          <w:sz w:val="22"/>
          <w:szCs w:val="22"/>
        </w:rPr>
        <w:t xml:space="preserve"> в дальнейшем именуемое </w:t>
      </w:r>
      <w:r w:rsidRPr="005739CA">
        <w:rPr>
          <w:b/>
          <w:bCs/>
          <w:sz w:val="22"/>
          <w:szCs w:val="22"/>
        </w:rPr>
        <w:t>Продавец,</w:t>
      </w:r>
      <w:r w:rsidRPr="005739CA">
        <w:rPr>
          <w:sz w:val="22"/>
          <w:szCs w:val="22"/>
        </w:rPr>
        <w:t xml:space="preserve"> лицензия на осуществление фармацевтической деятельности </w:t>
      </w:r>
      <w:proofErr w:type="spellStart"/>
      <w:r w:rsidR="00C13735">
        <w:rPr>
          <w:sz w:val="22"/>
          <w:szCs w:val="22"/>
        </w:rPr>
        <w:t>No</w:t>
      </w:r>
      <w:proofErr w:type="spellEnd"/>
      <w:r w:rsidR="00C13735">
        <w:rPr>
          <w:sz w:val="22"/>
          <w:szCs w:val="22"/>
        </w:rPr>
        <w:t>.</w:t>
      </w:r>
      <w:r w:rsidRPr="005739CA">
        <w:rPr>
          <w:sz w:val="22"/>
          <w:szCs w:val="22"/>
        </w:rPr>
        <w:t xml:space="preserve"> ФС-99-02-004901 от 02 сентября 2015 г,, выданная Федеральной службой по надзору в сфере здравоохранения, в лице Нартовой Я.И., действующей на основании доверенности от </w:t>
      </w:r>
      <w:r w:rsidR="00C13735" w:rsidRPr="005739CA">
        <w:rPr>
          <w:sz w:val="22"/>
          <w:szCs w:val="22"/>
        </w:rPr>
        <w:t>08</w:t>
      </w:r>
      <w:r w:rsidR="00C13735">
        <w:rPr>
          <w:sz w:val="22"/>
          <w:szCs w:val="22"/>
        </w:rPr>
        <w:t>/</w:t>
      </w:r>
      <w:r w:rsidR="00C13735" w:rsidRPr="005739CA">
        <w:rPr>
          <w:sz w:val="22"/>
          <w:szCs w:val="22"/>
        </w:rPr>
        <w:t>20</w:t>
      </w:r>
      <w:r w:rsidR="00C13735">
        <w:rPr>
          <w:sz w:val="22"/>
          <w:szCs w:val="22"/>
        </w:rPr>
        <w:t>/</w:t>
      </w:r>
      <w:r w:rsidR="00C13735" w:rsidRPr="005739CA">
        <w:rPr>
          <w:sz w:val="22"/>
          <w:szCs w:val="22"/>
        </w:rPr>
        <w:t>2015</w:t>
      </w:r>
      <w:r w:rsidRPr="005739CA">
        <w:rPr>
          <w:sz w:val="22"/>
          <w:szCs w:val="22"/>
        </w:rPr>
        <w:t xml:space="preserve">, с одной стороны, и </w:t>
      </w:r>
      <w:r w:rsidRPr="005739CA">
        <w:rPr>
          <w:b/>
          <w:bCs/>
          <w:sz w:val="22"/>
          <w:szCs w:val="22"/>
        </w:rPr>
        <w:t xml:space="preserve">ЗАО </w:t>
      </w:r>
      <w:r w:rsidR="00C13735">
        <w:rPr>
          <w:b/>
          <w:bCs/>
          <w:sz w:val="22"/>
          <w:szCs w:val="22"/>
        </w:rPr>
        <w:t>“</w:t>
      </w:r>
      <w:r w:rsidRPr="005739CA">
        <w:rPr>
          <w:b/>
          <w:bCs/>
          <w:sz w:val="22"/>
          <w:szCs w:val="22"/>
        </w:rPr>
        <w:t xml:space="preserve">Многопрофильная медицинская компания </w:t>
      </w:r>
      <w:r w:rsidR="00C13735">
        <w:rPr>
          <w:b/>
          <w:bCs/>
          <w:sz w:val="22"/>
          <w:szCs w:val="22"/>
        </w:rPr>
        <w:t>“</w:t>
      </w:r>
      <w:proofErr w:type="spellStart"/>
      <w:r w:rsidRPr="005739CA">
        <w:rPr>
          <w:b/>
          <w:bCs/>
          <w:sz w:val="22"/>
          <w:szCs w:val="22"/>
        </w:rPr>
        <w:t>Формед</w:t>
      </w:r>
      <w:proofErr w:type="spellEnd"/>
      <w:r w:rsidR="00C13735">
        <w:rPr>
          <w:b/>
          <w:bCs/>
          <w:sz w:val="22"/>
          <w:szCs w:val="22"/>
        </w:rPr>
        <w:t>”</w:t>
      </w:r>
      <w:r w:rsidRPr="005739CA">
        <w:rPr>
          <w:b/>
          <w:bCs/>
          <w:sz w:val="22"/>
          <w:szCs w:val="22"/>
        </w:rPr>
        <w:t xml:space="preserve">, </w:t>
      </w:r>
      <w:r w:rsidRPr="005739CA">
        <w:rPr>
          <w:sz w:val="22"/>
          <w:szCs w:val="22"/>
        </w:rPr>
        <w:t xml:space="preserve">в дальнейшем Покупатель, лицензия на осуществление фармацевтической деятельности </w:t>
      </w:r>
      <w:r w:rsidR="00C13735">
        <w:rPr>
          <w:sz w:val="22"/>
          <w:szCs w:val="22"/>
        </w:rPr>
        <w:t>No.</w:t>
      </w:r>
      <w:r w:rsidRPr="005739CA">
        <w:rPr>
          <w:sz w:val="22"/>
          <w:szCs w:val="22"/>
        </w:rPr>
        <w:t>ФС-99-02-001799 от 20 апреля 201</w:t>
      </w:r>
      <w:r w:rsidR="00C13735" w:rsidRPr="005739CA">
        <w:rPr>
          <w:sz w:val="22"/>
          <w:szCs w:val="22"/>
        </w:rPr>
        <w:t>1</w:t>
      </w:r>
      <w:r w:rsidRPr="005739CA">
        <w:rPr>
          <w:sz w:val="22"/>
          <w:szCs w:val="22"/>
        </w:rPr>
        <w:t>, выданная Федеральной службой по надзору в сфере здравоохранения и социального развития, в лице Генерального директора Соседовой Н.А., действующего на основании Устава с другой стороны, заключили настоящий Договор о нижеследующем:</w:t>
      </w:r>
    </w:p>
    <w:p w14:paraId="6690007C" w14:textId="6314C218" w:rsidR="00AC6FD1" w:rsidRPr="005739CA" w:rsidRDefault="00232CDD" w:rsidP="005739CA">
      <w:pPr>
        <w:pStyle w:val="Heading1"/>
      </w:pPr>
      <w:bookmarkStart w:id="2" w:name="bookmark2"/>
      <w:r w:rsidRPr="005739CA">
        <w:t>ПРЕДМЕТ ДОГОВОРА</w:t>
      </w:r>
      <w:bookmarkEnd w:id="2"/>
    </w:p>
    <w:p w14:paraId="3D6F78C7" w14:textId="2E66F819" w:rsidR="00AC6FD1" w:rsidRPr="005739CA" w:rsidRDefault="00232CDD" w:rsidP="005739CA">
      <w:pPr>
        <w:pStyle w:val="Heading2"/>
      </w:pPr>
      <w:r w:rsidRPr="005739CA">
        <w:t>По настоящему Договору Продавец обязуется передавать, а Покупатель принимать в собственность Товар в количестве, ассортименте и по ценам согласно Заказам на поставку, и уплатить за Товар установленную цену.</w:t>
      </w:r>
    </w:p>
    <w:p w14:paraId="78793B10" w14:textId="3F48A7B5" w:rsidR="00AC6FD1" w:rsidRPr="005739CA" w:rsidRDefault="00232CDD" w:rsidP="005739CA">
      <w:pPr>
        <w:pStyle w:val="Heading2"/>
      </w:pPr>
      <w:r w:rsidRPr="005739CA">
        <w:t>Под Товаром по настоящему Договору понимается Фармацевтическая продукция (лекарственные препараты).</w:t>
      </w:r>
    </w:p>
    <w:p w14:paraId="5DDBCDAC" w14:textId="61568F50" w:rsidR="00AC6FD1" w:rsidRPr="005739CA" w:rsidRDefault="00232CDD" w:rsidP="005739CA">
      <w:pPr>
        <w:pStyle w:val="Heading2"/>
      </w:pPr>
      <w:r w:rsidRPr="005739CA">
        <w:t>Местонахождение Товара: Склад Продавца по адресу: 143080 Московская область, Одинцовский район, пос. Лесной городок, ул. Энергетиков, д. 10.</w:t>
      </w:r>
    </w:p>
    <w:p w14:paraId="546E18DF" w14:textId="50C4D19E" w:rsidR="00AC6FD1" w:rsidRPr="005739CA" w:rsidRDefault="00232CDD" w:rsidP="005739CA">
      <w:pPr>
        <w:pStyle w:val="Heading1"/>
      </w:pPr>
      <w:bookmarkStart w:id="3" w:name="bookmark3"/>
      <w:r w:rsidRPr="005739CA">
        <w:t>УСЛОВИЯ ПОСТАВКИ И ПРИЕМКА ТОВАРА</w:t>
      </w:r>
      <w:bookmarkEnd w:id="3"/>
    </w:p>
    <w:p w14:paraId="1EBD179A" w14:textId="29AA8745" w:rsidR="00AC6FD1" w:rsidRPr="005739CA" w:rsidRDefault="00232CDD" w:rsidP="005739CA">
      <w:pPr>
        <w:pStyle w:val="Heading2"/>
      </w:pPr>
      <w:r w:rsidRPr="005739CA">
        <w:t>Поставка Товара будет осуществляться в течение всего срока действия настоящего Договора отдельными партиями в количестве и ассортименте согласно Заказам на поставку, подписываемым уполномоченными представителями Сторон и являющимся неотъемлемой частью настоящего Договора. Подтверждение Заказа на поставку осуществляется в течение 3 (трех) рабочих дней с момента его поступления, но в любом случае не более 14 (четырнадцати) рабочих дней и может осуществляться Сторонами посредством обмена копиями документов, присланными по электронным или факсимильным средствам связи. Стороны согласились, что в соответствии с настоящим Договором, копии любых документов, переданных/полученных в рамках исполнения настоящего Договора таким способом, будут иметь силу оригинальных документов до момента получения Сторонами оригинальных документов.</w:t>
      </w:r>
    </w:p>
    <w:p w14:paraId="573F3AB2" w14:textId="196D82E0" w:rsidR="00AC6FD1" w:rsidRPr="005739CA" w:rsidRDefault="00232CDD" w:rsidP="005739CA">
      <w:pPr>
        <w:pStyle w:val="Heading2"/>
      </w:pPr>
      <w:r w:rsidRPr="005739CA">
        <w:t xml:space="preserve">Если иное не будет оговорено Сторонами в соответствующих Заказах на поставку или дополнительных соглашениях к настоящему Договору, поставка Товара по настоящему Договору будет осуществляться на условиях самовывоза, </w:t>
      </w:r>
      <w:proofErr w:type="gramStart"/>
      <w:r w:rsidRPr="005739CA">
        <w:t>т.е.</w:t>
      </w:r>
      <w:proofErr w:type="gramEnd"/>
      <w:r w:rsidRPr="005739CA">
        <w:t xml:space="preserve"> путем получения Товара уполномоченным представителем Покупателя на Складе Продавца, по адресу указанному в </w:t>
      </w:r>
      <w:r w:rsidR="00C13735" w:rsidRPr="005739CA">
        <w:t>п.</w:t>
      </w:r>
      <w:r w:rsidR="00C13735">
        <w:t xml:space="preserve"> </w:t>
      </w:r>
      <w:r w:rsidR="00C13735" w:rsidRPr="005739CA">
        <w:t>1</w:t>
      </w:r>
      <w:r w:rsidRPr="005739CA">
        <w:t>.3 настоящего Договора. Доставка Товара также может быть организована Продавцом, на согласованных с Покупателем в письменном виде условиях, оформляемых как приложение к настоящему Договору.</w:t>
      </w:r>
    </w:p>
    <w:p w14:paraId="2FBBB102" w14:textId="48ED483D" w:rsidR="00AC6FD1" w:rsidRPr="005739CA" w:rsidRDefault="00232CDD" w:rsidP="005739CA">
      <w:pPr>
        <w:pStyle w:val="Heading2"/>
      </w:pPr>
      <w:r w:rsidRPr="005739CA">
        <w:t xml:space="preserve">На основании согласованных Заказов на поставку Продавец осуществляет подготовку и резервирование Товара Покупателя. Покупатель в течение 3 (трех) рабочих дней с даты получения извещения о резервировании </w:t>
      </w:r>
      <w:r w:rsidR="00C16F23" w:rsidRPr="005739CA">
        <w:t>Товара</w:t>
      </w:r>
      <w:r w:rsidRPr="005739CA">
        <w:t>, связывается с представителем Продавца, согласовывает дату и время подготовки отгрузки Товара. Продавец гарантирует отгрузку зарезервированного Товара в согласованное время прибытия транспортного средства Покупателя.</w:t>
      </w:r>
    </w:p>
    <w:p w14:paraId="4E82543F" w14:textId="72B6CA8D" w:rsidR="00AC6FD1" w:rsidRPr="005739CA" w:rsidRDefault="00232CDD" w:rsidP="005739CA">
      <w:pPr>
        <w:pStyle w:val="Heading2"/>
      </w:pPr>
      <w:r w:rsidRPr="005739CA">
        <w:t xml:space="preserve">Переход права собственности на Товар происходит в момент его передачи в распоряжение Покупателя на Складе, указанном в </w:t>
      </w:r>
      <w:r w:rsidR="00C13735" w:rsidRPr="005739CA">
        <w:t>п.</w:t>
      </w:r>
      <w:r w:rsidR="00C13735">
        <w:t xml:space="preserve"> </w:t>
      </w:r>
      <w:r w:rsidR="00C13735" w:rsidRPr="005739CA">
        <w:t>1</w:t>
      </w:r>
      <w:r w:rsidRPr="005739CA">
        <w:t>.3 настоящего Договора, на основании счета-фактуры и товарной накладной. Переход риска случайной гибели Товара к Покупателю происходит в момент перехода к нему права собственности на Товар.</w:t>
      </w:r>
    </w:p>
    <w:p w14:paraId="78E6C967" w14:textId="2AF76F3A" w:rsidR="00AC6FD1" w:rsidRPr="005739CA" w:rsidRDefault="00232CDD" w:rsidP="005739CA">
      <w:pPr>
        <w:pStyle w:val="Heading2"/>
      </w:pPr>
      <w:r w:rsidRPr="005739CA">
        <w:t>Датой поставки считается дата, указанная в накладной на передачу Товара со Склада полномочному представителю Покупателя, подписанной указанным представителем.</w:t>
      </w:r>
    </w:p>
    <w:p w14:paraId="72EAD0BF" w14:textId="20AB58A6" w:rsidR="00AC6FD1" w:rsidRPr="000C5176" w:rsidRDefault="00232CDD" w:rsidP="005739CA">
      <w:pPr>
        <w:pStyle w:val="Heading2"/>
        <w:rPr>
          <w:szCs w:val="22"/>
        </w:rPr>
      </w:pPr>
      <w:r w:rsidRPr="005739CA">
        <w:t>Приемка Товара производится уполномоченным представителем Покупателя в момент его получения на Складе по количеству и качеству в части наличия повреждений упаковки Товара на основании сравнения данных, указанных в Заказе на поставку и накладной (накладных) с фактическими</w:t>
      </w:r>
      <w:r w:rsidR="005739CA">
        <w:br w:type="page"/>
      </w:r>
      <w:r w:rsidRPr="000C5176">
        <w:rPr>
          <w:szCs w:val="22"/>
        </w:rPr>
        <w:lastRenderedPageBreak/>
        <w:t>данными. Приемка Товара по количеству единиц и качеству Товара оформляется путем подписания уполномоченным представителем Покупателя товарной накладной (отгрузочного документа).</w:t>
      </w:r>
    </w:p>
    <w:p w14:paraId="355736B5" w14:textId="20B09CC4" w:rsidR="00AC6FD1" w:rsidRPr="005739CA" w:rsidRDefault="00232CDD" w:rsidP="005739CA">
      <w:pPr>
        <w:pStyle w:val="Heading1"/>
      </w:pPr>
      <w:bookmarkStart w:id="4" w:name="bookmark4"/>
      <w:r w:rsidRPr="005739CA">
        <w:t>ЦЕНА И УСЛОВИЯ ОПЛАТЫ ТОВАРА</w:t>
      </w:r>
      <w:bookmarkEnd w:id="4"/>
    </w:p>
    <w:p w14:paraId="6DDA9964" w14:textId="5B28511E" w:rsidR="00AC6FD1" w:rsidRPr="005739CA" w:rsidRDefault="00232CDD" w:rsidP="005739CA">
      <w:pPr>
        <w:pStyle w:val="Heading2"/>
      </w:pPr>
      <w:r w:rsidRPr="005739CA">
        <w:t>Цена Товара устанавливаются в рублях, согласно прайс-листа Продавца, действующего на момент направления Покупателем Заказа на поставку.</w:t>
      </w:r>
    </w:p>
    <w:p w14:paraId="763B70C9" w14:textId="127F0DFF" w:rsidR="00AC6FD1" w:rsidRPr="005739CA" w:rsidRDefault="00232CDD" w:rsidP="005739CA">
      <w:pPr>
        <w:pStyle w:val="Heading2"/>
      </w:pPr>
      <w:r w:rsidRPr="005739CA">
        <w:t xml:space="preserve">В случае наличия оснований, предусмотренных Дополнительными соглашениями к настоящему Договору, Продавец предоставляет Покупателю скидки к цене Товара, уменьшающие первоначальную цену Товара, определенную на основании прайс-листа. В случае нарушения Покупателем </w:t>
      </w:r>
      <w:r w:rsidR="00C13735" w:rsidRPr="005739CA">
        <w:t>п.</w:t>
      </w:r>
      <w:r w:rsidR="00C13735">
        <w:t xml:space="preserve"> </w:t>
      </w:r>
      <w:r w:rsidR="00C13735" w:rsidRPr="005739CA">
        <w:t>7</w:t>
      </w:r>
      <w:r w:rsidRPr="005739CA">
        <w:t>.2. настоящего Договора, в соответствии с публично имеющейся информацией Продавец имеет право отказать Покупателю в предоставлении скидок на Товар, Окончательная цена на Товар устанавливается при отгрузке и указывается в отгрузочных документах, а также счетах и счетах-фактурах, выставляемых Продавцом.</w:t>
      </w:r>
    </w:p>
    <w:p w14:paraId="6162B8BE" w14:textId="11FA3424" w:rsidR="00AC6FD1" w:rsidRPr="005739CA" w:rsidRDefault="00232CDD" w:rsidP="005739CA">
      <w:pPr>
        <w:pStyle w:val="Heading2"/>
      </w:pPr>
      <w:r w:rsidRPr="005739CA">
        <w:t xml:space="preserve">Стоимость каждой отгружаемой партии Товара определяется Сторонами в Заказах на поставку. Общая стоимость поставляемых по настоящему Договору Товаров складывается из стоимости поставленных по настоящему Договору партий Товара, с учетом </w:t>
      </w:r>
      <w:proofErr w:type="gramStart"/>
      <w:r w:rsidRPr="005739CA">
        <w:t>условий</w:t>
      </w:r>
      <w:proofErr w:type="gramEnd"/>
      <w:r w:rsidRPr="005739CA">
        <w:t xml:space="preserve"> предусмотренных Дополнительными Соглашениями, в соответствии с </w:t>
      </w:r>
      <w:r w:rsidR="00C13735" w:rsidRPr="005739CA">
        <w:t>п.</w:t>
      </w:r>
      <w:r w:rsidR="00C13735">
        <w:t xml:space="preserve"> </w:t>
      </w:r>
      <w:r w:rsidR="00C13735" w:rsidRPr="005739CA">
        <w:t>3</w:t>
      </w:r>
      <w:r w:rsidRPr="005739CA">
        <w:t>.2. Договора.</w:t>
      </w:r>
    </w:p>
    <w:p w14:paraId="23563641" w14:textId="32E37D95" w:rsidR="00AC6FD1" w:rsidRPr="005739CA" w:rsidRDefault="00232CDD" w:rsidP="005739CA">
      <w:pPr>
        <w:pStyle w:val="Heading2"/>
      </w:pPr>
      <w:r w:rsidRPr="005739CA">
        <w:t>Продавец оставляет за собой право отказать в отгрузке, если общая стоимость отгружаемого товара будет менее 500 000 (пятьсот тысяч) рублей, включая НДС.</w:t>
      </w:r>
    </w:p>
    <w:p w14:paraId="3D6C1E4D" w14:textId="5C5579E5" w:rsidR="00AC6FD1" w:rsidRPr="005739CA" w:rsidRDefault="00232CDD" w:rsidP="005739CA">
      <w:pPr>
        <w:pStyle w:val="Heading2"/>
      </w:pPr>
      <w:r w:rsidRPr="005739CA">
        <w:t>Продавец оставляет за собой право отгружать Товар в адрес Покупателя не чаще 2 (двух) раз в неделю.</w:t>
      </w:r>
    </w:p>
    <w:p w14:paraId="77D33CC5" w14:textId="56322BF1" w:rsidR="00AC6FD1" w:rsidRPr="005739CA" w:rsidRDefault="00232CDD" w:rsidP="005739CA">
      <w:pPr>
        <w:pStyle w:val="Heading2"/>
      </w:pPr>
      <w:r w:rsidRPr="005739CA">
        <w:t>Продавец оставляет за собой право не осуществлять отгрузки в адрес Покупателя в последний рабочий день отчётного периода Продавца.</w:t>
      </w:r>
    </w:p>
    <w:p w14:paraId="7DCF58BC" w14:textId="5DCCB004" w:rsidR="00AC6FD1" w:rsidRPr="005739CA" w:rsidRDefault="00232CDD" w:rsidP="005739CA">
      <w:pPr>
        <w:pStyle w:val="Heading2"/>
      </w:pPr>
      <w:r w:rsidRPr="005739CA">
        <w:t>Оплата по настоящему Договору производится в течение 90 (Девяносто) дней с даты и на основании счета/счета-фактуры Продавца в безналичном порядке, на его расчетный счет, указанный в соответствующем разделе настоящего Договора. Стороны могут определить иной порядок оплаты за Товар посредством подписания отдельного Дополнительного соглашения. Условия ст. 317</w:t>
      </w:r>
      <w:r w:rsidRPr="005739CA">
        <w:rPr>
          <w:vertAlign w:val="superscript"/>
        </w:rPr>
        <w:t>1</w:t>
      </w:r>
      <w:r w:rsidRPr="005739CA">
        <w:t xml:space="preserve"> ГК РФ не подлежат применению к положениям настоящего пункта.</w:t>
      </w:r>
    </w:p>
    <w:p w14:paraId="168C1837" w14:textId="10895FC6" w:rsidR="00AC6FD1" w:rsidRPr="005739CA" w:rsidRDefault="00232CDD" w:rsidP="005739CA">
      <w:pPr>
        <w:pStyle w:val="Heading2"/>
      </w:pPr>
      <w:r w:rsidRPr="005739CA">
        <w:t>До возникновения оснований возникших в соответствии с Дополнительными Соглашениями к настоящему Договору, расчеты между Сторонами осуществляются исходя из цены Товара, указанной в соответствующем счете Продавца. При осуществлении платежа в платежном поручении Покупатель указывает реквизиты Заказа на поставку, по которому производится оплата. В случае если данные не будут указаны, Продавец вправе зачислить полученную сумму в погашение иной имеющейся на момент оплаты задолженности Покупателя.</w:t>
      </w:r>
    </w:p>
    <w:p w14:paraId="1789A976" w14:textId="012BEC00" w:rsidR="00AC6FD1" w:rsidRPr="005739CA" w:rsidRDefault="00232CDD" w:rsidP="005739CA">
      <w:pPr>
        <w:pStyle w:val="Heading2"/>
      </w:pPr>
      <w:r w:rsidRPr="005739CA">
        <w:t>Днем оплаты считается день зачисления денежных средств на счет Продавца. Банковские расходы, связанные с переводом денежных средств из банка Покупателя, относятся на Покупателя. Банковские расходы, связанные с получением денежных средств на счет Продавца, относятся на Продавца.</w:t>
      </w:r>
    </w:p>
    <w:p w14:paraId="1736BF2E" w14:textId="0D0970E7" w:rsidR="00AC6FD1" w:rsidRPr="005739CA" w:rsidRDefault="00232CDD" w:rsidP="005739CA">
      <w:pPr>
        <w:pStyle w:val="Heading2"/>
      </w:pPr>
      <w:r w:rsidRPr="005739CA">
        <w:t>В случае нарушения Покупателем сроков оплаты, Продавец оставляет за собой право на изменение условий оплаты и перевода на условия предоплаты, предварительно уведомив Покупателя за 7 рабочих дней до даты вступления такого решения в силу, либо на начисление на сумму просроченной задолженности процентов в размере 0,1% от суммы просроченной задолженности за каждый день просрочки оплаты. В случае просрочки оплаты более чем на 60 (шестьдесят) дней Продавец имеет право отказаться от дальнейшего исполнения настоящего Договора и взыскать сумму задолженности в судебном порядке.</w:t>
      </w:r>
    </w:p>
    <w:p w14:paraId="2A50FABD" w14:textId="3E3D0A89" w:rsidR="00AC6FD1" w:rsidRPr="005739CA" w:rsidRDefault="00232CDD" w:rsidP="005739CA">
      <w:pPr>
        <w:pStyle w:val="Heading1"/>
      </w:pPr>
      <w:bookmarkStart w:id="5" w:name="bookmark5"/>
      <w:r w:rsidRPr="005739CA">
        <w:t>КАЧЕСТВО И ГАРАНТИИ НА ТОВАР</w:t>
      </w:r>
      <w:bookmarkEnd w:id="5"/>
    </w:p>
    <w:p w14:paraId="7FAFF2E2" w14:textId="46CA0D16" w:rsidR="00AC6FD1" w:rsidRPr="005739CA" w:rsidRDefault="00232CDD" w:rsidP="005739CA">
      <w:pPr>
        <w:pStyle w:val="Heading2"/>
      </w:pPr>
      <w:r w:rsidRPr="005739CA">
        <w:t>Продавец гарантирует поставку Товара, соответствующего в течение всего срока годности требованиям нормативной документации на Товар, утвержденной в определенном законодательством порядке.</w:t>
      </w:r>
    </w:p>
    <w:p w14:paraId="22C5C266" w14:textId="4AC7ED89" w:rsidR="00AC6FD1" w:rsidRPr="00020FBC" w:rsidRDefault="00232CDD" w:rsidP="000C5176">
      <w:pPr>
        <w:pStyle w:val="Heading2"/>
        <w:rPr>
          <w:szCs w:val="22"/>
        </w:rPr>
      </w:pPr>
      <w:r w:rsidRPr="005739CA">
        <w:t>Остаточный срок годности поставляемого Товара должен составлять не менее 70% срока годности, указанного на упаковке единицы Товара. Товар с остаточным сроком годности менее 70% может</w:t>
      </w:r>
      <w:r w:rsidR="005739CA">
        <w:br w:type="page"/>
      </w:r>
      <w:r w:rsidRPr="00020FBC">
        <w:rPr>
          <w:szCs w:val="22"/>
        </w:rPr>
        <w:lastRenderedPageBreak/>
        <w:t>поставляться Покупателю по согласованию с ним на условиях, указанных в соответствующем Заказе на поставку Товара</w:t>
      </w:r>
      <w:r w:rsidR="005739CA" w:rsidRPr="00020FBC">
        <w:rPr>
          <w:szCs w:val="22"/>
        </w:rPr>
        <w:t>.</w:t>
      </w:r>
    </w:p>
    <w:p w14:paraId="17BF848B" w14:textId="4A497197" w:rsidR="00AC6FD1" w:rsidRPr="005739CA" w:rsidRDefault="00232CDD" w:rsidP="005739CA">
      <w:pPr>
        <w:pStyle w:val="Heading2"/>
      </w:pPr>
      <w:r w:rsidRPr="005739CA">
        <w:t>Продавец готовит Товар для отгрузки в упаковке с маркировкой, позволяющей идентифицировать Товар Покупателя. Маркировка индивидуальной упаковки и инструкция по применению Товара должны быть на русском языке,</w:t>
      </w:r>
    </w:p>
    <w:p w14:paraId="294C98E5" w14:textId="4E278F2F" w:rsidR="00AC6FD1" w:rsidRPr="005739CA" w:rsidRDefault="00232CDD" w:rsidP="005739CA">
      <w:pPr>
        <w:pStyle w:val="Heading2"/>
      </w:pPr>
      <w:r w:rsidRPr="005739CA">
        <w:t>Каждая партия Товара сопровождается Декларацией соответствия и/или другими документами, подтверждающими качество Товара, в соответствии с порядком, установленным российским законодательством на момент поставки.</w:t>
      </w:r>
    </w:p>
    <w:p w14:paraId="7A925F35" w14:textId="5EACD5E3" w:rsidR="00AC6FD1" w:rsidRPr="005739CA" w:rsidRDefault="00232CDD" w:rsidP="005739CA">
      <w:pPr>
        <w:pStyle w:val="Heading2"/>
      </w:pPr>
      <w:r w:rsidRPr="005739CA">
        <w:t>При обнаружении несоответствия качества Товара нормативной документации, Покупатель имеет право обращаться к Продавцу в течение всего срока годности Товара (за исключением случаев, если несоответствие качества Товара нормативной документации связано с ненадлежащими условиями транспортировки или хранения Товара Покупателем). Претензии по качеству должны сопровождаться Протоколом анализа аккредитованной контрольно-испытательной лаборатории. Протокол должен быть отправлен в течение 3-х (трех) календарных дней после факта его оформления.</w:t>
      </w:r>
    </w:p>
    <w:p w14:paraId="5C5B622C" w14:textId="37909642" w:rsidR="00AC6FD1" w:rsidRPr="005739CA" w:rsidRDefault="00232CDD" w:rsidP="005739CA">
      <w:pPr>
        <w:pStyle w:val="Heading2"/>
      </w:pPr>
      <w:r w:rsidRPr="005739CA">
        <w:t>Приемка Товара на Складе осуществляется уполномоченным представителем Покупателя по количеству и качеству упаковок Товара. При этом Продавец предоставляет представителю Покупателя все короба (кроме опечатанных заводским способом) в открытом виде для возможности проверки упаковок Товара по количеству и качеству. Также, в случае предъявления соответствующего требования, представителю Покупателя предоставляется возможность вскрытия коробов, опечатанных заводским способом, для проверки упаковок Товара по количеству и качеству. В случае наличия претензий представителя Покупателя к качеству упаковки Товара, соответствующие единицы Товара подлежат замене в ходе приемки; в случае выявления недостачи, она подлежит восполнению в ходе приемки. Все вскрытые для передачи короба с Товаром опечатываются после осмотра Товара и непосредственно перед отгрузкой фирменным скотчем Продавца (</w:t>
      </w:r>
      <w:r w:rsidR="00C13735">
        <w:t>“</w:t>
      </w:r>
      <w:proofErr w:type="spellStart"/>
      <w:r w:rsidRPr="005739CA">
        <w:t>Pfizer</w:t>
      </w:r>
      <w:proofErr w:type="spellEnd"/>
      <w:r w:rsidR="00C13735">
        <w:t>”</w:t>
      </w:r>
      <w:r w:rsidRPr="005739CA">
        <w:t>).</w:t>
      </w:r>
    </w:p>
    <w:p w14:paraId="38D21DCF" w14:textId="4F1AAA8D" w:rsidR="00AC6FD1" w:rsidRPr="005739CA" w:rsidRDefault="00232CDD" w:rsidP="005739CA">
      <w:pPr>
        <w:pStyle w:val="Heading2"/>
      </w:pPr>
      <w:r w:rsidRPr="005739CA">
        <w:t>Претензии по качеству в части наличия повреждений упаковки единицы Товара рассматриваются только в отношении коробов, запечатанных заводским способом, не вскрываемых при приемке товара на Складе Продавца. Такие претензии принимаются в течение 10 (десяти) календарных дней с даты поставки (самовывоза со Склада) и подлежат удовлетворению при условии, что повреждение не связано с ненадлежащими условиями транспортировки или хранения Товара Покупателем, и не могло быть обнаружено при внешнем осмотре при приемке Товара согласно п. 4.6 Договора.</w:t>
      </w:r>
    </w:p>
    <w:p w14:paraId="6FCE5049" w14:textId="77777777" w:rsidR="00AC6FD1" w:rsidRPr="005739CA" w:rsidRDefault="00232CDD" w:rsidP="005739CA">
      <w:pPr>
        <w:ind w:left="567"/>
        <w:jc w:val="both"/>
        <w:rPr>
          <w:sz w:val="22"/>
          <w:szCs w:val="22"/>
        </w:rPr>
      </w:pPr>
      <w:r w:rsidRPr="005739CA">
        <w:rPr>
          <w:sz w:val="22"/>
          <w:szCs w:val="22"/>
        </w:rPr>
        <w:t>В случае признания претензии Продавцом обоснованной, Покупатель в течение 15 (пятнадцати) календарных дней с даты ее подтверждения Продавцом, возвращает бракованные упаковки на Склад Продавца с предоставлением Акта о выявлении брака и накладной, в которых указываются номер и дата отгрузочных документов. Продавец обязуется возместить прямой (реальный) ущерб Покупателю путем списания задолженности в форме выставления кредит-ноты, и списание задолженности по соответствующему счету-фактуре, по которому были отгружены бракованные/поврежденные упаковки.</w:t>
      </w:r>
    </w:p>
    <w:p w14:paraId="58EAE24D" w14:textId="4D0DCDB2" w:rsidR="00AC6FD1" w:rsidRPr="005739CA" w:rsidRDefault="00232CDD" w:rsidP="005739CA">
      <w:pPr>
        <w:pStyle w:val="Heading2"/>
      </w:pPr>
      <w:r w:rsidRPr="005739CA">
        <w:t>Продавец не несет рисков повреждения Товара в связи с нарушением Покупателем температурных режимов транспортировки или хранения Товара после поставки. Покупатель осуществляет перевозку и хранение Товара в соответствии с установленным для Товара температурным режимом хранения.</w:t>
      </w:r>
    </w:p>
    <w:p w14:paraId="45F87F76" w14:textId="259903C7" w:rsidR="00AC6FD1" w:rsidRPr="005739CA" w:rsidRDefault="00232CDD" w:rsidP="005739CA">
      <w:pPr>
        <w:pStyle w:val="Heading2"/>
      </w:pPr>
      <w:r w:rsidRPr="005739CA">
        <w:t>При несоблюдении Покупателем требований относительно транспортировки, обеспечивающей соответствующий температурный режим, Продавец оставляет за собой право сделать отметку в отгрузочных документах о том, что на момент отгрузки Товара со Склада транспортное средство не удовлетворяло температурным требованиям перевозки Товара.</w:t>
      </w:r>
    </w:p>
    <w:p w14:paraId="693EA363" w14:textId="7A32A229" w:rsidR="00AC6FD1" w:rsidRPr="005739CA" w:rsidRDefault="00232CDD" w:rsidP="005739CA">
      <w:pPr>
        <w:pStyle w:val="Heading2"/>
      </w:pPr>
      <w:r w:rsidRPr="005739CA">
        <w:t>Товар, имеющий температурный режим хранения +2+8 С, поставляется только в предоставленные Покупателем термоконтейнеры, обеспечивающие температурные требования, или транспорт, поддерживающий соответствующий температурный режим. При несоблюдении указанных условий Продавец оставляет за собой право отказаться от поставки Товара.</w:t>
      </w:r>
    </w:p>
    <w:p w14:paraId="230EFEC8" w14:textId="0383F9EE" w:rsidR="00AC6FD1" w:rsidRPr="005739CA" w:rsidRDefault="00232CDD" w:rsidP="005739CA">
      <w:pPr>
        <w:pStyle w:val="Heading1"/>
      </w:pPr>
      <w:bookmarkStart w:id="6" w:name="bookmark6"/>
      <w:r w:rsidRPr="005739CA">
        <w:t>ПОРЯДОК РАЗРЕШЕНИЯ СПОРОВ</w:t>
      </w:r>
      <w:bookmarkEnd w:id="6"/>
    </w:p>
    <w:p w14:paraId="0D605293" w14:textId="77777777" w:rsidR="00020FBC" w:rsidRDefault="00232CDD" w:rsidP="000C5176">
      <w:pPr>
        <w:pStyle w:val="Heading2"/>
      </w:pPr>
      <w:r w:rsidRPr="005739CA">
        <w:t>В случае наличия споров и разногласий, которые могут возникнуть из настоящего Договора или по его поводу, Стороны разрешают их путем переговоров. При невозможности разрешения спора путем переговоров, спор передается на рассмотрения в Арбитражный суд г. Москвы и разрешается в соответствии с законодательством РФ</w:t>
      </w:r>
      <w:r w:rsidR="005739CA">
        <w:t>.</w:t>
      </w:r>
    </w:p>
    <w:p w14:paraId="6EA437A0" w14:textId="3E376A25" w:rsidR="00AC6FD1" w:rsidRPr="005739CA" w:rsidRDefault="005739CA" w:rsidP="005739CA">
      <w:pPr>
        <w:pStyle w:val="Heading2"/>
      </w:pPr>
      <w:r>
        <w:br w:type="page"/>
      </w:r>
      <w:bookmarkStart w:id="7" w:name="bookmark7"/>
      <w:r w:rsidR="00232CDD" w:rsidRPr="005739CA">
        <w:lastRenderedPageBreak/>
        <w:t>ФОРС-МАЖОРНЫЕ ОБСТОЯТЕЛЬСТВА</w:t>
      </w:r>
      <w:bookmarkEnd w:id="7"/>
    </w:p>
    <w:p w14:paraId="2CF6EE83" w14:textId="507FCFFD" w:rsidR="00AC6FD1" w:rsidRPr="005739CA" w:rsidRDefault="00232CDD" w:rsidP="005739CA">
      <w:pPr>
        <w:pStyle w:val="Heading2"/>
      </w:pPr>
      <w:r w:rsidRPr="005739CA">
        <w:t>Стороны освобождаются от ответственности за неисполнение обязательств по настоящему Договору, если оно явилось следствием обстоятельств непреодолимой силы (форс-мажор).</w:t>
      </w:r>
    </w:p>
    <w:p w14:paraId="1828D4F5" w14:textId="525B00B7" w:rsidR="00AC6FD1" w:rsidRPr="005739CA" w:rsidRDefault="00232CDD" w:rsidP="005739CA">
      <w:pPr>
        <w:pStyle w:val="Heading2"/>
      </w:pPr>
      <w:r w:rsidRPr="005739CA">
        <w:t>Под форс-мажорными обстоятельствами понимаются землетрясения, наводнения и другие стихийные бедствия, войны, блокады, препятствующие выполнению одной из сторон своих обязательств по настоящему Договору.</w:t>
      </w:r>
    </w:p>
    <w:p w14:paraId="717E8BC6" w14:textId="0837443A" w:rsidR="00AC6FD1" w:rsidRPr="005739CA" w:rsidRDefault="00232CDD" w:rsidP="005739CA">
      <w:pPr>
        <w:pStyle w:val="Heading2"/>
      </w:pPr>
      <w:r w:rsidRPr="005739CA">
        <w:t>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14:paraId="1EC523CB" w14:textId="4B410D15" w:rsidR="00AC6FD1" w:rsidRPr="005739CA" w:rsidRDefault="00232CDD" w:rsidP="005739CA">
      <w:pPr>
        <w:pStyle w:val="Heading2"/>
      </w:pPr>
      <w:r w:rsidRPr="005739CA">
        <w:t>Сторона, испытывающая действие обстоятельств непреодолимой силы, обязана незамедлительно информировать другую сторону о приостановлении исполнения обязательств по настоящему Договору в связи с действием обстоятельств непреодолимой силы, с описание указанных обстоятельств и их влияния не невозможность исполнения обязательств и подтверждения их наступления.</w:t>
      </w:r>
    </w:p>
    <w:p w14:paraId="0BFAD5C7" w14:textId="199FB852" w:rsidR="00AC6FD1" w:rsidRPr="005739CA" w:rsidRDefault="00232CDD" w:rsidP="005739CA">
      <w:pPr>
        <w:pStyle w:val="Heading2"/>
      </w:pPr>
      <w:r w:rsidRPr="005739CA">
        <w:t>Если обстоятельства непреодолимой силы действуют на протяжении 3 (трех) последовательных месяцев, настоящий Договор может быть расторгнут путем направления уведомления другой стороне.</w:t>
      </w:r>
    </w:p>
    <w:p w14:paraId="30E7DB28" w14:textId="1F6EE587" w:rsidR="00AC6FD1" w:rsidRPr="005739CA" w:rsidRDefault="00232CDD" w:rsidP="005739CA">
      <w:pPr>
        <w:pStyle w:val="Heading1"/>
      </w:pPr>
      <w:bookmarkStart w:id="8" w:name="bookmark8"/>
      <w:r w:rsidRPr="005739CA">
        <w:t>АНТИ-КОРРУПЦИОННЫЕ УСЛОВИЯ</w:t>
      </w:r>
      <w:bookmarkEnd w:id="8"/>
    </w:p>
    <w:p w14:paraId="49CF5949" w14:textId="521070A9" w:rsidR="00AC6FD1" w:rsidRPr="005739CA" w:rsidRDefault="00232CDD" w:rsidP="005739CA">
      <w:pPr>
        <w:pStyle w:val="Heading2"/>
      </w:pPr>
      <w:r w:rsidRPr="005739CA">
        <w:t>Покупатель гарантирует, что имеет все необходимые лицензии, разрешения, согласия и должным образом зарегистрировано для осуществления деятельности в соответствии с действующим законодательством в целях исполнения обязательств в рамках Договора, и что исполнение обязательств по Договору н</w:t>
      </w:r>
      <w:r w:rsidR="00C16F23">
        <w:t>е</w:t>
      </w:r>
      <w:r w:rsidRPr="005739CA">
        <w:t xml:space="preserve"> противоречит любым другим обязательствам Покупателя.</w:t>
      </w:r>
    </w:p>
    <w:p w14:paraId="32A1117F" w14:textId="42B8F58A" w:rsidR="00AC6FD1" w:rsidRPr="005739CA" w:rsidRDefault="00232CDD" w:rsidP="005739CA">
      <w:pPr>
        <w:pStyle w:val="Heading2"/>
      </w:pPr>
      <w:r w:rsidRPr="005739CA">
        <w:t>Покупатель не предлагал и не будет в будущем предлагать, обещать или осуществлять, как самостоятельно, так и через посредников, денежные выплаты любого рода или передачу ценных вещей государственным служащим или любым иным лицам с целью неправомерного побуждения государственного служащего или другого лица к совершению ими каких-либо действий с целью получения неправомерных преимуществ в бизнесе, и не принимал и не будет принимать подобные выплаты.</w:t>
      </w:r>
    </w:p>
    <w:p w14:paraId="68291604" w14:textId="4CB08214" w:rsidR="00AC6FD1" w:rsidRPr="005739CA" w:rsidRDefault="00232CDD" w:rsidP="005739CA">
      <w:pPr>
        <w:pStyle w:val="Heading2"/>
      </w:pPr>
      <w:r w:rsidRPr="005739CA">
        <w:t>Покупателю были предоставлены Международные принципы борьбы со взяточничеством и коррупцией Продавца (Приложение А), и указанные Принципы были доведены до сведения лиц, действующих от имени Покупателя в связи с исполнением обязательств перед Продавцом, в том числе агентам и субподрядчикам.</w:t>
      </w:r>
    </w:p>
    <w:p w14:paraId="0B3E9257" w14:textId="2A7B1607" w:rsidR="00AC6FD1" w:rsidRPr="005739CA" w:rsidRDefault="00232CDD" w:rsidP="005739CA">
      <w:pPr>
        <w:pStyle w:val="Heading2"/>
      </w:pPr>
      <w:r w:rsidRPr="005739CA">
        <w:t>Покупатель должен пройти обучающий тренинг (электронную версию) по соблюдению принципов борьбы со взяточничеством и коррупцией в течение 30 (тридцати) календарных дней с момента получения ссылки на электронный ресурс, направленной Покупателем.</w:t>
      </w:r>
    </w:p>
    <w:p w14:paraId="7A80C2E2" w14:textId="4F08DF70" w:rsidR="00AC6FD1" w:rsidRPr="005739CA" w:rsidRDefault="00232CDD" w:rsidP="005739CA">
      <w:pPr>
        <w:pStyle w:val="Heading2"/>
      </w:pPr>
      <w:r w:rsidRPr="005739CA">
        <w:t>Вся информация, предоставленная Покупателем Продавцу в рамках антикоррупционной должной проверки третьих лиц, является полной, достоверной и точной, и Покупатель обязуется сообщать Продавцу о любых изменениях содержания ответов на вопросы Анкеты в рамках антикоррупционной должной проверки третьих лиц, касающихся как Покупателя, так и любых физических лиц, указанных в Анкете или их близких родственников, согласно приведенному в ней определению, в течение срока действия Договора.</w:t>
      </w:r>
    </w:p>
    <w:p w14:paraId="38C1498B" w14:textId="22709DD0" w:rsidR="00AC6FD1" w:rsidRPr="005739CA" w:rsidRDefault="00232CDD" w:rsidP="005739CA">
      <w:pPr>
        <w:pStyle w:val="Heading2"/>
      </w:pPr>
      <w:r w:rsidRPr="005739CA">
        <w:t>Покупатель обязуется предоставить достоверную и полную документацию, детально подтверждающую поставки по Договору и понесенные затраты; будет вести, выставлять и предоставлять достоверные, точные и полные счета, отчеты, выписки, бухгалтерские книги и прочую учетную документацию. Покупатель обязуется информировать Продавца о любых случаях возникновения дополнительных расходов по Договору и должен получить письменное согласие Продавца на такие расходы до их осуществления. Возмещение расходов Покупателя по Договору осуществляется только в случае предоставления подтверждающих документов.</w:t>
      </w:r>
    </w:p>
    <w:p w14:paraId="6A2F33A2" w14:textId="5562EB09" w:rsidR="00AC6FD1" w:rsidRPr="005739CA" w:rsidRDefault="00232CDD" w:rsidP="005739CA">
      <w:pPr>
        <w:pStyle w:val="Heading2"/>
        <w:spacing w:before="0" w:after="120"/>
        <w:contextualSpacing/>
        <w:rPr>
          <w:b/>
          <w:bCs/>
        </w:rPr>
      </w:pPr>
      <w:bookmarkStart w:id="9" w:name="bookmark9"/>
      <w:r w:rsidRPr="005739CA">
        <w:rPr>
          <w:b/>
          <w:bCs/>
        </w:rPr>
        <w:t>Аудит и проверки, осуществляемые представителями Продавца.</w:t>
      </w:r>
      <w:bookmarkEnd w:id="9"/>
    </w:p>
    <w:p w14:paraId="420E00F6" w14:textId="254B4E07" w:rsidR="00AC6FD1" w:rsidRPr="005739CA" w:rsidRDefault="00232CDD" w:rsidP="005739CA">
      <w:pPr>
        <w:ind w:left="567"/>
        <w:jc w:val="both"/>
        <w:rPr>
          <w:sz w:val="22"/>
          <w:szCs w:val="22"/>
        </w:rPr>
      </w:pPr>
      <w:r w:rsidRPr="005739CA">
        <w:rPr>
          <w:sz w:val="22"/>
          <w:szCs w:val="22"/>
        </w:rPr>
        <w:t xml:space="preserve">При разумном уведомлении Покупателя и в течение его рабочих часов, представители Продавца либо уполномоченные им третьи лица, субподрядчики или агенты, включая, но не ограничиваясь, внутренними и внешними аудиторами, либо внутренними и внешними юристами / </w:t>
      </w:r>
      <w:proofErr w:type="spellStart"/>
      <w:r w:rsidRPr="005739CA">
        <w:rPr>
          <w:sz w:val="22"/>
          <w:szCs w:val="22"/>
        </w:rPr>
        <w:t>комплайенс</w:t>
      </w:r>
      <w:proofErr w:type="spellEnd"/>
      <w:r w:rsidR="00FD38C9">
        <w:rPr>
          <w:sz w:val="22"/>
          <w:szCs w:val="22"/>
        </w:rPr>
        <w:br w:type="page"/>
      </w:r>
      <w:r w:rsidRPr="005739CA">
        <w:rPr>
          <w:sz w:val="22"/>
          <w:szCs w:val="22"/>
        </w:rPr>
        <w:lastRenderedPageBreak/>
        <w:t xml:space="preserve">менеджерами, (совместно именуемые </w:t>
      </w:r>
      <w:r w:rsidR="00C13735">
        <w:rPr>
          <w:sz w:val="22"/>
          <w:szCs w:val="22"/>
        </w:rPr>
        <w:t>“</w:t>
      </w:r>
      <w:r w:rsidRPr="005739CA">
        <w:rPr>
          <w:sz w:val="22"/>
          <w:szCs w:val="22"/>
        </w:rPr>
        <w:t>представители Продавца</w:t>
      </w:r>
      <w:r w:rsidR="00C13735">
        <w:rPr>
          <w:sz w:val="22"/>
          <w:szCs w:val="22"/>
        </w:rPr>
        <w:t>”</w:t>
      </w:r>
      <w:r w:rsidRPr="005739CA">
        <w:rPr>
          <w:sz w:val="22"/>
          <w:szCs w:val="22"/>
        </w:rPr>
        <w:t>), могут проводить периодические проверки помещений и (или) аудит бухгалтерских книг и записей Покупателя, касающихся выполнения условий Договора, с целью подтверждения точности выполнения Покупателем условий Договора, включая, но, не ограничиваясь, выполнения антикоррупционных условий, гарантий и заверений, а также соблюдение Покупателем положений антикоррупционного законодательства и Международных принципов борьбы со взяточничеством и коррупцией Продавца я политик противодействующих взяточничеству</w:t>
      </w:r>
      <w:r w:rsidR="005739CA">
        <w:rPr>
          <w:sz w:val="22"/>
          <w:szCs w:val="22"/>
        </w:rPr>
        <w:t>.</w:t>
      </w:r>
    </w:p>
    <w:p w14:paraId="2E47AD18" w14:textId="77777777" w:rsidR="00AC6FD1" w:rsidRPr="005739CA" w:rsidRDefault="00232CDD" w:rsidP="005739CA">
      <w:pPr>
        <w:ind w:left="567"/>
        <w:jc w:val="both"/>
        <w:rPr>
          <w:sz w:val="22"/>
          <w:szCs w:val="22"/>
        </w:rPr>
      </w:pPr>
      <w:r w:rsidRPr="005739CA">
        <w:rPr>
          <w:sz w:val="22"/>
          <w:szCs w:val="22"/>
        </w:rPr>
        <w:t>Дополнительными критериями для проведения аудита являются:</w:t>
      </w:r>
    </w:p>
    <w:p w14:paraId="0EC82F63" w14:textId="5EE83C2B" w:rsidR="00AC6FD1" w:rsidRPr="00FD38C9" w:rsidRDefault="00232CDD" w:rsidP="00FD38C9">
      <w:pPr>
        <w:pStyle w:val="ListParagraph"/>
        <w:numPr>
          <w:ilvl w:val="0"/>
          <w:numId w:val="6"/>
        </w:numPr>
        <w:jc w:val="both"/>
        <w:rPr>
          <w:sz w:val="22"/>
          <w:szCs w:val="22"/>
        </w:rPr>
      </w:pPr>
      <w:r w:rsidRPr="00FD38C9">
        <w:rPr>
          <w:sz w:val="22"/>
          <w:szCs w:val="22"/>
        </w:rPr>
        <w:t xml:space="preserve">получение сведений о недобросовестности Покупателя, либо третьих лиц с которыми последний вступает в договорные отношения. К таким сведениям могут относиться: включение Покупателя/третьих лиц в реестр недобросовестных поставщиков (подрядчиков, исполнителей) в соответствии с ФЗ от </w:t>
      </w:r>
      <w:r w:rsidR="00C13735" w:rsidRPr="00FD38C9">
        <w:rPr>
          <w:sz w:val="22"/>
          <w:szCs w:val="22"/>
        </w:rPr>
        <w:t>04</w:t>
      </w:r>
      <w:r w:rsidR="00C13735">
        <w:rPr>
          <w:sz w:val="22"/>
          <w:szCs w:val="22"/>
        </w:rPr>
        <w:t>/</w:t>
      </w:r>
      <w:r w:rsidR="00C13735" w:rsidRPr="00FD38C9">
        <w:rPr>
          <w:sz w:val="22"/>
          <w:szCs w:val="22"/>
        </w:rPr>
        <w:t>05</w:t>
      </w:r>
      <w:r w:rsidR="00C13735">
        <w:rPr>
          <w:sz w:val="22"/>
          <w:szCs w:val="22"/>
        </w:rPr>
        <w:t>/</w:t>
      </w:r>
      <w:r w:rsidR="00C13735" w:rsidRPr="00FD38C9">
        <w:rPr>
          <w:sz w:val="22"/>
          <w:szCs w:val="22"/>
        </w:rPr>
        <w:t>2013</w:t>
      </w:r>
      <w:r w:rsidRPr="00FD38C9">
        <w:rPr>
          <w:sz w:val="22"/>
          <w:szCs w:val="22"/>
        </w:rPr>
        <w:t xml:space="preserve"> </w:t>
      </w:r>
      <w:proofErr w:type="spellStart"/>
      <w:r w:rsidR="00C13735">
        <w:rPr>
          <w:sz w:val="22"/>
          <w:szCs w:val="22"/>
        </w:rPr>
        <w:t>No</w:t>
      </w:r>
      <w:proofErr w:type="spellEnd"/>
      <w:r w:rsidR="00C13735">
        <w:rPr>
          <w:sz w:val="22"/>
          <w:szCs w:val="22"/>
        </w:rPr>
        <w:t>.</w:t>
      </w:r>
      <w:r w:rsidRPr="00FD38C9">
        <w:rPr>
          <w:sz w:val="22"/>
          <w:szCs w:val="22"/>
        </w:rPr>
        <w:t xml:space="preserve"> 44-ФЗ </w:t>
      </w:r>
      <w:r w:rsidR="00C13735">
        <w:rPr>
          <w:sz w:val="22"/>
          <w:szCs w:val="22"/>
        </w:rPr>
        <w:t>“</w:t>
      </w:r>
      <w:r w:rsidRPr="00FD38C9">
        <w:rPr>
          <w:sz w:val="22"/>
          <w:szCs w:val="22"/>
        </w:rPr>
        <w:t>О контрактной системе в сфере закупок товаров, работ, услуг, для обеспечения государственных и муниципальных нужд</w:t>
      </w:r>
      <w:r w:rsidR="00C13735">
        <w:rPr>
          <w:sz w:val="22"/>
          <w:szCs w:val="22"/>
        </w:rPr>
        <w:t>”</w:t>
      </w:r>
      <w:r w:rsidRPr="00FD38C9">
        <w:rPr>
          <w:sz w:val="22"/>
          <w:szCs w:val="22"/>
        </w:rPr>
        <w:t>, а также</w:t>
      </w:r>
    </w:p>
    <w:p w14:paraId="30CEAF40" w14:textId="6A6E1DC2" w:rsidR="00AC6FD1" w:rsidRPr="005739CA" w:rsidRDefault="00232CDD" w:rsidP="00FD38C9">
      <w:pPr>
        <w:pStyle w:val="ListParagraph"/>
        <w:numPr>
          <w:ilvl w:val="0"/>
          <w:numId w:val="6"/>
        </w:numPr>
        <w:spacing w:after="120"/>
        <w:jc w:val="both"/>
        <w:rPr>
          <w:sz w:val="22"/>
          <w:szCs w:val="22"/>
        </w:rPr>
      </w:pPr>
      <w:r w:rsidRPr="005739CA">
        <w:rPr>
          <w:sz w:val="22"/>
          <w:szCs w:val="22"/>
        </w:rPr>
        <w:t>получение иных сведений о Покупателе, которые могут отрицательно повлиять на исполнение Покупателем своих обязанностей в соответствии с настоящим Договором, а именно: появление в прессе информации о коррупционном скандале, связанном с Покупателем, либо информации об открытии в отношении Покупателя процедуры банкротства и другие.</w:t>
      </w:r>
    </w:p>
    <w:p w14:paraId="0425EC44" w14:textId="3CCBF9BC" w:rsidR="00AC6FD1" w:rsidRPr="005739CA" w:rsidRDefault="00232CDD" w:rsidP="00FD38C9">
      <w:pPr>
        <w:ind w:firstLine="709"/>
        <w:jc w:val="both"/>
        <w:rPr>
          <w:sz w:val="22"/>
          <w:szCs w:val="22"/>
        </w:rPr>
      </w:pPr>
      <w:r w:rsidRPr="005739CA">
        <w:rPr>
          <w:sz w:val="22"/>
          <w:szCs w:val="22"/>
        </w:rPr>
        <w:t xml:space="preserve">Для целей настоящей статьи, понятие </w:t>
      </w:r>
      <w:r w:rsidR="00C13735">
        <w:rPr>
          <w:sz w:val="22"/>
          <w:szCs w:val="22"/>
        </w:rPr>
        <w:t>“</w:t>
      </w:r>
      <w:r w:rsidRPr="005739CA">
        <w:rPr>
          <w:sz w:val="22"/>
          <w:szCs w:val="22"/>
        </w:rPr>
        <w:t>бухгалтерские книги и записи</w:t>
      </w:r>
      <w:r w:rsidR="00C13735">
        <w:rPr>
          <w:sz w:val="22"/>
          <w:szCs w:val="22"/>
        </w:rPr>
        <w:t>”</w:t>
      </w:r>
      <w:r w:rsidRPr="005739CA">
        <w:rPr>
          <w:sz w:val="22"/>
          <w:szCs w:val="22"/>
        </w:rPr>
        <w:t xml:space="preserve"> включает, но не ограничивается, бухгалтерскими и финансовыми отчетами, политиками и процедурами Покупателя и другими документами и деловыми бумагами, касающихся Договора, а именно: корреспонденция, документы по должной проверке контрагентов, отчеты, касающиеся внедрения процедур по борьбе со взяточничеством и антикоррупционные политики, а также любые системы, используемые для создания и поддержания таких книг и записей.</w:t>
      </w:r>
    </w:p>
    <w:p w14:paraId="3DE5A127" w14:textId="77777777" w:rsidR="00AC6FD1" w:rsidRPr="005739CA" w:rsidRDefault="00232CDD" w:rsidP="00FD38C9">
      <w:pPr>
        <w:ind w:firstLine="709"/>
        <w:jc w:val="both"/>
        <w:rPr>
          <w:sz w:val="22"/>
          <w:szCs w:val="22"/>
        </w:rPr>
      </w:pPr>
      <w:r w:rsidRPr="005739CA">
        <w:rPr>
          <w:sz w:val="22"/>
          <w:szCs w:val="22"/>
        </w:rPr>
        <w:t>В процессе таких проверок и аудитов представители Продавца могут также проводить интервью на территории Покупателя с сотрудниками Покупателя, субподрядчиками и агентами. Покупатель гарантирует согласие своих сотрудников, субподрядчиков и агентов на проведение подобных проверок, аудитов и интервью, и сделает доступными все запрашиваемые бухгалтерские книги и записи, предоставит возможность проведения интервью с указанными лицами, а также предоставит разумную помощь в проведении проверок и аудитов.</w:t>
      </w:r>
    </w:p>
    <w:p w14:paraId="2D6434B4" w14:textId="77777777" w:rsidR="00AC6FD1" w:rsidRPr="005739CA" w:rsidRDefault="00232CDD" w:rsidP="00FD38C9">
      <w:pPr>
        <w:ind w:firstLine="709"/>
        <w:jc w:val="both"/>
        <w:rPr>
          <w:sz w:val="22"/>
          <w:szCs w:val="22"/>
        </w:rPr>
      </w:pPr>
      <w:r w:rsidRPr="005739CA">
        <w:rPr>
          <w:sz w:val="22"/>
          <w:szCs w:val="22"/>
        </w:rPr>
        <w:t>При отсутствии иного оговоренного срока Продавец имеет право на проведение проверок и аудита в течение наибольшего из следующих периодов: 1) трех лет после прекращения Договора либо 2) в течение требуемого срока хранения таких бухгалтерских книг и записей в соответствии с требованиями действующего законодательства.</w:t>
      </w:r>
    </w:p>
    <w:p w14:paraId="7846A791" w14:textId="77777777" w:rsidR="00AC6FD1" w:rsidRPr="005739CA" w:rsidRDefault="00232CDD" w:rsidP="00FD38C9">
      <w:pPr>
        <w:spacing w:after="120"/>
        <w:ind w:firstLine="709"/>
        <w:jc w:val="both"/>
        <w:rPr>
          <w:sz w:val="22"/>
          <w:szCs w:val="22"/>
        </w:rPr>
      </w:pPr>
      <w:r w:rsidRPr="005739CA">
        <w:rPr>
          <w:sz w:val="22"/>
          <w:szCs w:val="22"/>
        </w:rPr>
        <w:t>При наличии у Продавца обоснованных причин полагать, что условия Договора не выполняются или не были выполнены в соответствии с применимым законодательством или с условиями Договора, Продавец может назначить проверку и (или) аудит без соответствующего уведомления Покупателя, и получит аналогичную помощь и доступ, описанную выше.</w:t>
      </w:r>
    </w:p>
    <w:p w14:paraId="49975F22" w14:textId="77777777" w:rsidR="00AC6FD1" w:rsidRPr="005739CA" w:rsidRDefault="00232CDD" w:rsidP="00AA17FE">
      <w:pPr>
        <w:jc w:val="both"/>
        <w:rPr>
          <w:sz w:val="22"/>
          <w:szCs w:val="22"/>
        </w:rPr>
      </w:pPr>
      <w:r w:rsidRPr="005739CA">
        <w:rPr>
          <w:sz w:val="22"/>
          <w:szCs w:val="22"/>
          <w:u w:val="single"/>
        </w:rPr>
        <w:t>Корректирующие процедуры по результатам проведенного аудита:</w:t>
      </w:r>
    </w:p>
    <w:p w14:paraId="4F298620" w14:textId="77777777" w:rsidR="00AC6FD1" w:rsidRPr="005739CA" w:rsidRDefault="00232CDD" w:rsidP="00AA17FE">
      <w:pPr>
        <w:jc w:val="both"/>
        <w:rPr>
          <w:sz w:val="22"/>
          <w:szCs w:val="22"/>
        </w:rPr>
      </w:pPr>
      <w:r w:rsidRPr="005739CA">
        <w:rPr>
          <w:sz w:val="22"/>
          <w:szCs w:val="22"/>
        </w:rPr>
        <w:t>Покупатель возложит обязанность по устранению найденных несоответствий во время проведения проверок и аудита на своих сотрудников, агентов или субподрядчиков и предоставит по просьбе Продавца документацию, подтверждающую проведение таких корректирующих процедур.</w:t>
      </w:r>
    </w:p>
    <w:p w14:paraId="070B4D40" w14:textId="77777777" w:rsidR="00AC6FD1" w:rsidRPr="005739CA" w:rsidRDefault="00232CDD" w:rsidP="00FD38C9">
      <w:pPr>
        <w:spacing w:before="240"/>
        <w:jc w:val="both"/>
        <w:outlineLvl w:val="0"/>
        <w:rPr>
          <w:sz w:val="22"/>
          <w:szCs w:val="22"/>
        </w:rPr>
      </w:pPr>
      <w:bookmarkStart w:id="10" w:name="bookmark10"/>
      <w:r w:rsidRPr="005739CA">
        <w:rPr>
          <w:b/>
          <w:bCs/>
          <w:sz w:val="22"/>
          <w:szCs w:val="22"/>
        </w:rPr>
        <w:t>Финансовый аудит.</w:t>
      </w:r>
      <w:bookmarkEnd w:id="10"/>
    </w:p>
    <w:p w14:paraId="579F38A3" w14:textId="77777777" w:rsidR="00AC6FD1" w:rsidRPr="005739CA" w:rsidRDefault="00232CDD" w:rsidP="00FD38C9">
      <w:pPr>
        <w:ind w:firstLine="709"/>
        <w:jc w:val="both"/>
        <w:rPr>
          <w:sz w:val="22"/>
          <w:szCs w:val="22"/>
        </w:rPr>
      </w:pPr>
      <w:r w:rsidRPr="005739CA">
        <w:rPr>
          <w:sz w:val="22"/>
          <w:szCs w:val="22"/>
        </w:rPr>
        <w:t>По просьбе Продавца Покупатель соглашается предоставить достаточную финансовую информацию, касающуюся предпринимательской деятельности Покупателя, позволяющую провести анализ финансовой устойчивости Покупателя (Финансовый Аудит) за счет Продавца.</w:t>
      </w:r>
    </w:p>
    <w:p w14:paraId="1FF1D419" w14:textId="0EC392A7" w:rsidR="00AC6FD1" w:rsidRPr="005739CA" w:rsidRDefault="00232CDD" w:rsidP="000C5176">
      <w:pPr>
        <w:ind w:firstLine="709"/>
        <w:jc w:val="both"/>
        <w:rPr>
          <w:sz w:val="22"/>
          <w:szCs w:val="22"/>
        </w:rPr>
      </w:pPr>
      <w:r w:rsidRPr="005739CA">
        <w:rPr>
          <w:sz w:val="22"/>
          <w:szCs w:val="22"/>
        </w:rPr>
        <w:t>По выбору Продавца информация будет предоставлена либо Продавцу, либо третьему лицу, соответствующему требованиям Продавца и Покупателя. Продавец может запросить проведение такого аудита в разумные сроки и с разумной периодичностью в течение срока действия настоящего Договора. Покупателю не потребуется раскрывать информацию о клиентах, не имеющих отношение к Продавцу, или раскрывать конфиденциальную коммерческую информацию, предоставленную такими клиентами Покупателю. Продавец обязуется сохранять информацию,</w:t>
      </w:r>
      <w:r w:rsidR="00FD38C9">
        <w:rPr>
          <w:sz w:val="22"/>
          <w:szCs w:val="22"/>
        </w:rPr>
        <w:br w:type="page"/>
      </w:r>
      <w:r w:rsidRPr="005739CA">
        <w:rPr>
          <w:sz w:val="22"/>
          <w:szCs w:val="22"/>
        </w:rPr>
        <w:lastRenderedPageBreak/>
        <w:t xml:space="preserve">предоставленную Покупателем, или полученную в результате Финансового аудита, проведенного третьим лицом, конфиденциальной, кроме случаев, когда такое раскрытие требуется в соответствии с действующим законодательством Российской Федерации, а также в рамках внутренних или внешних расследований, проводимых в соответствии с Законом США </w:t>
      </w:r>
      <w:r w:rsidR="00C13735">
        <w:rPr>
          <w:sz w:val="22"/>
          <w:szCs w:val="22"/>
        </w:rPr>
        <w:t>“</w:t>
      </w:r>
      <w:r w:rsidRPr="005739CA">
        <w:rPr>
          <w:sz w:val="22"/>
          <w:szCs w:val="22"/>
        </w:rPr>
        <w:t>О подкупе иностранных лиц за рубежом</w:t>
      </w:r>
      <w:r w:rsidR="00C13735">
        <w:rPr>
          <w:sz w:val="22"/>
          <w:szCs w:val="22"/>
        </w:rPr>
        <w:t>”</w:t>
      </w:r>
      <w:r w:rsidRPr="005739CA">
        <w:rPr>
          <w:sz w:val="22"/>
          <w:szCs w:val="22"/>
        </w:rPr>
        <w:t>.</w:t>
      </w:r>
    </w:p>
    <w:p w14:paraId="1B62803A" w14:textId="0E2B4EA9" w:rsidR="00AC6FD1" w:rsidRPr="005739CA" w:rsidRDefault="00232CDD" w:rsidP="00FD38C9">
      <w:pPr>
        <w:pStyle w:val="Heading2"/>
      </w:pPr>
      <w:r w:rsidRPr="005739CA">
        <w:t>Покупатель обязуется ежегодно, а также по запросу Продавца заполнять и предоставлять Продавцу подписанную форму Ежегодной Сертификации третьего лица, которая подтверждает следование антикоррупционным принципам Продавца.</w:t>
      </w:r>
    </w:p>
    <w:p w14:paraId="2CDDECF1" w14:textId="2E7573CD" w:rsidR="00AC6FD1" w:rsidRPr="005739CA" w:rsidRDefault="00232CDD" w:rsidP="00FD38C9">
      <w:pPr>
        <w:pStyle w:val="Heading2"/>
      </w:pPr>
      <w:r w:rsidRPr="005739CA">
        <w:t>Покупатель подтверждает, что при поступлении соответствующего запроса со стороны Продавца, любые лица, действующие от имени Покупателя в связи с выполнением обязательств по Договору, должны пройти тренинг по борьбе с коррупцией, проводимый Продавцом, и обязуется сообщить Продавцу о лицах, которые должны пройти данный тренинг в момент заключения договора и в течение срока его действия,</w:t>
      </w:r>
    </w:p>
    <w:p w14:paraId="58D7920C" w14:textId="6AE8411C" w:rsidR="00AC6FD1" w:rsidRPr="005739CA" w:rsidRDefault="00232CDD" w:rsidP="00FD38C9">
      <w:pPr>
        <w:pStyle w:val="Heading2"/>
      </w:pPr>
      <w:r w:rsidRPr="005739CA">
        <w:t>Продавец может немедленно расторгнуть Договор в случае нарушения Покупателем любого из вышеупомянутых обязательств, гарантий и заверений (в том числе по основаниям, предусмотренным п. 7.11 Договора). В случае расторжения Договора по этим основаниям все обязательства Сторон прекращаются, в том числе финансовые притязания Покупателя, независимо от того, были ли исполнены обязательства Покупателем либо заключены договоры с третьими лицами во исполнение настоящего Договора до момента расторжения Договора, и Покупатель самостоятельно несет риск возникновения ответственности, в том числе штрафов, ущерба, в связи с расторжением настоящего Договора на основании данного пункта. Кроме того, Покупатель обязан возместить и освободить Продавца от ответственности по любым претензиям, штрафам, пеням, убыткам или ущербу, возникшим в результате несоблюдения Покупателем своих обязательств по настоящему Договору.</w:t>
      </w:r>
    </w:p>
    <w:p w14:paraId="610AAE8C" w14:textId="7D06405C" w:rsidR="00AC6FD1" w:rsidRPr="005739CA" w:rsidRDefault="00232CDD" w:rsidP="00FD38C9">
      <w:pPr>
        <w:pStyle w:val="Heading2"/>
      </w:pPr>
      <w:r w:rsidRPr="005739CA">
        <w:t xml:space="preserve">Продавец имеет право, в одностороннем порядке отказаться от исполнения Договора и расторгнуть его, в случае получения сведений о недобросовестности Покупателя, либо третьих лиц с которыми последний вступает в договорные отношения. К таким сведениям могут относиться: включение Покупателя/третьих лиц в реестр недобросовестных поставщиков в соответствии с Федеральным законом от </w:t>
      </w:r>
      <w:r w:rsidR="00C13735" w:rsidRPr="005739CA">
        <w:t>04</w:t>
      </w:r>
      <w:r w:rsidR="00C13735">
        <w:t>/</w:t>
      </w:r>
      <w:r w:rsidR="00C13735" w:rsidRPr="005739CA">
        <w:t>05</w:t>
      </w:r>
      <w:r w:rsidR="00C13735">
        <w:t>/</w:t>
      </w:r>
      <w:r w:rsidR="00C13735" w:rsidRPr="005739CA">
        <w:t>2013</w:t>
      </w:r>
      <w:r w:rsidRPr="005739CA">
        <w:t xml:space="preserve"> </w:t>
      </w:r>
      <w:proofErr w:type="spellStart"/>
      <w:r w:rsidR="00C13735">
        <w:t>No</w:t>
      </w:r>
      <w:proofErr w:type="spellEnd"/>
      <w:r w:rsidR="00C13735">
        <w:t>.</w:t>
      </w:r>
      <w:r w:rsidRPr="005739CA">
        <w:t xml:space="preserve"> 44-ФЗ </w:t>
      </w:r>
      <w:r w:rsidR="00C13735">
        <w:t>“</w:t>
      </w:r>
      <w:r w:rsidRPr="005739CA">
        <w:t>О контрактной системе в сфере закупок товаров, работ, услуг, для обеспечения государственных и муниципальных нужд</w:t>
      </w:r>
      <w:r w:rsidR="00C13735">
        <w:t>”</w:t>
      </w:r>
      <w:r w:rsidRPr="005739CA">
        <w:t>, сведения от компетентных государственных органов о факте вовлечения или причастности Покупателя к нарушениям действующего законодательства РФ, а также получение иных сведений о Покупателе, которые могут отрицательно повлиять на исполнение Покупателем своих обязанностей в соответствии с настоящим Договором, а именно: появление в прессе информации о коррупционном скандале, связанном с Покупателем, либо информации об открытии в отношении Покупателя процедуры банкротства и другие.</w:t>
      </w:r>
    </w:p>
    <w:p w14:paraId="71D7290B" w14:textId="600B2213" w:rsidR="00AC6FD1" w:rsidRPr="005739CA" w:rsidRDefault="00232CDD" w:rsidP="00FD38C9">
      <w:pPr>
        <w:pStyle w:val="Heading1"/>
      </w:pPr>
      <w:bookmarkStart w:id="11" w:name="bookmark11"/>
      <w:r w:rsidRPr="005739CA">
        <w:t>СРОК ДЕЙСТВИЯ И УСЛОВИЯ РАСТОРЖЕНИЯ ДОГОВОРА. ПРОЧИЕ УСЛОВИЯ</w:t>
      </w:r>
      <w:bookmarkEnd w:id="11"/>
    </w:p>
    <w:p w14:paraId="664E7252" w14:textId="2627289E" w:rsidR="00AC6FD1" w:rsidRPr="005739CA" w:rsidRDefault="00232CDD" w:rsidP="00FD38C9">
      <w:pPr>
        <w:pStyle w:val="Heading2"/>
      </w:pPr>
      <w:r w:rsidRPr="005739CA">
        <w:t>Настоящий Договор вступает в силу с даты его подписания и действует в течение 1 (одного) года, но до полного выполнения Сторонами или одной из Сторон своих обязательств по Договору. В случае, если ни одна из Сторон не заявит о расторжении Договора за один месяц до истечения срока его действия, настоящий Договор будет автоматически пролонгирован на 1 (один) последующий год, без ограничения количества пролонгаций.</w:t>
      </w:r>
    </w:p>
    <w:p w14:paraId="6A84A035" w14:textId="474DF696" w:rsidR="00AC6FD1" w:rsidRPr="005739CA" w:rsidRDefault="00232CDD" w:rsidP="00FD38C9">
      <w:pPr>
        <w:pStyle w:val="Heading2"/>
      </w:pPr>
      <w:r w:rsidRPr="005739CA">
        <w:t>Продавец оставляет за собой право на односторонний внесудебный отказ от исполнения настоящего Договора и его последующее расторжение, включая все дополнительные соглашения к нему, предварительно уведомив Покупателя об этом за 1 (один) календарный месяц. При этом такое расторжение настоящего Договора не освобождает Стороны от выполнения всех обязательств, предусмотренных условиями настоящего Договора и Дополнительных соглашений к нему, существующих на момент расторжения настоящего Договора Продавцом</w:t>
      </w:r>
    </w:p>
    <w:p w14:paraId="78CD322A" w14:textId="0299EC5C" w:rsidR="00AC6FD1" w:rsidRPr="005739CA" w:rsidRDefault="00232CDD" w:rsidP="00FD38C9">
      <w:pPr>
        <w:pStyle w:val="Heading2"/>
      </w:pPr>
      <w:r w:rsidRPr="005739CA">
        <w:t xml:space="preserve">Продавец имеет право, в одностороннем внесудебном порядке, отказаться от исполнения настоящего Договора и расторгнуть его, в случае: 1) отсутствия поставок Товара в течение 6 месяцев с даты подписания Договора, 2)если общая сумма поставленного Товара в течение 12 месяцев с даты подписания Договора составит менее 10 000 000 (Десять миллионов) рублей, 3) если общая сумма поставленного Товара в течение 6 месяцев с даты подписания Договора составит менее 5 000 000 (Пять миллионов) рублей, 4) в случае наличия просроченной задолженности по оплате товара свыше 150 (сто пятьдесят) дней, а также в случае наступления обстоятельств, в связи с которыми Покупатель перестал отвечать утвержденным в Коммерческой политике </w:t>
      </w:r>
      <w:r w:rsidRPr="005739CA">
        <w:rPr>
          <w:lang w:eastAsia="en-US" w:bidi="en-US"/>
        </w:rPr>
        <w:t>(</w:t>
      </w:r>
      <w:hyperlink r:id="rId7" w:history="1">
        <w:r w:rsidRPr="00DF2218">
          <w:rPr>
            <w:lang w:val="en-US" w:eastAsia="en-US" w:bidi="en-US"/>
          </w:rPr>
          <w:t>www</w:t>
        </w:r>
        <w:r w:rsidRPr="005739CA">
          <w:rPr>
            <w:lang w:eastAsia="en-US" w:bidi="en-US"/>
          </w:rPr>
          <w:t>.</w:t>
        </w:r>
        <w:r w:rsidRPr="00DF2218">
          <w:rPr>
            <w:lang w:val="en-US" w:eastAsia="en-US" w:bidi="en-US"/>
          </w:rPr>
          <w:t>pfizer</w:t>
        </w:r>
        <w:r w:rsidRPr="005739CA">
          <w:rPr>
            <w:lang w:eastAsia="en-US" w:bidi="en-US"/>
          </w:rPr>
          <w:t>.</w:t>
        </w:r>
        <w:r w:rsidRPr="00DF2218">
          <w:rPr>
            <w:lang w:val="en-US" w:eastAsia="en-US" w:bidi="en-US"/>
          </w:rPr>
          <w:t>ru</w:t>
        </w:r>
      </w:hyperlink>
      <w:r w:rsidRPr="005739CA">
        <w:rPr>
          <w:lang w:eastAsia="en-US" w:bidi="en-US"/>
        </w:rPr>
        <w:t xml:space="preserve">) </w:t>
      </w:r>
      <w:r w:rsidRPr="005739CA">
        <w:t>Продавца критериям.</w:t>
      </w:r>
      <w:r w:rsidR="00FD38C9">
        <w:br w:type="page"/>
      </w:r>
      <w:r w:rsidRPr="005739CA">
        <w:lastRenderedPageBreak/>
        <w:t>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730A7A1A" w14:textId="72315177" w:rsidR="00AC6FD1" w:rsidRPr="005739CA" w:rsidRDefault="00232CDD" w:rsidP="00FD38C9">
      <w:pPr>
        <w:pStyle w:val="Heading2"/>
      </w:pPr>
      <w:r w:rsidRPr="005739CA">
        <w:t>Настоящий Договор составлен на русском языке, в двух, имеющих одинаковую юридическую силу, экземплярах, по одному для каждой из Сторон.</w:t>
      </w:r>
    </w:p>
    <w:p w14:paraId="73FB3998" w14:textId="690F2F8C" w:rsidR="00AC6FD1" w:rsidRPr="005739CA" w:rsidRDefault="00232CDD" w:rsidP="00FD38C9">
      <w:pPr>
        <w:pStyle w:val="Heading2"/>
      </w:pPr>
      <w:r w:rsidRPr="005739CA">
        <w:t>При изменении адресов, телефонов, номера факса, платежных реквизитов или иных сведений, указанных в разделе 9 настоящего Договора, соответствующая Сторона обязана отправить сообщение об этом другой Стороне в письменном виде в течение 5 (пяти) календарных дней с даты изменения. Сторона, своевременно не сообщившая об указанных изменениях, несет риск негативных последствий, связанных с не уведомлением, и обязана возместить другой Стороне документально подтвержденные убытки, возникшие в результате такого не уведомления.</w:t>
      </w:r>
    </w:p>
    <w:p w14:paraId="73DC8388" w14:textId="77777777" w:rsidR="00FD38C9" w:rsidRDefault="00232CDD" w:rsidP="00FD38C9">
      <w:pPr>
        <w:pStyle w:val="Heading1"/>
      </w:pPr>
      <w:bookmarkStart w:id="12" w:name="bookmark12"/>
      <w:r w:rsidRPr="005739CA">
        <w:t>ЮРИДИЧЕСКИЕ АДРЕСА И БАНКОВСКИЕ РЕКВИЗИТЫ СТОРОН.</w:t>
      </w:r>
    </w:p>
    <w:p w14:paraId="07DD69B1" w14:textId="7404B68F" w:rsidR="00AC6FD1" w:rsidRPr="003B22DE" w:rsidRDefault="00232CDD" w:rsidP="003B22DE">
      <w:pPr>
        <w:spacing w:after="120"/>
        <w:jc w:val="center"/>
        <w:rPr>
          <w:b/>
          <w:bCs/>
        </w:rPr>
      </w:pPr>
      <w:r w:rsidRPr="003B22DE">
        <w:rPr>
          <w:b/>
          <w:bCs/>
        </w:rPr>
        <w:t>СВЕДЕНИЯ О ЛИЦЕНЗИЯХ</w:t>
      </w:r>
      <w:bookmarkEnd w:id="12"/>
    </w:p>
    <w:p w14:paraId="542C6D50" w14:textId="24F53A50" w:rsidR="00AC6FD1" w:rsidRPr="005739CA" w:rsidRDefault="00232CDD" w:rsidP="003B22DE">
      <w:pPr>
        <w:spacing w:after="120"/>
        <w:jc w:val="both"/>
        <w:outlineLvl w:val="0"/>
        <w:rPr>
          <w:sz w:val="22"/>
          <w:szCs w:val="22"/>
        </w:rPr>
      </w:pPr>
      <w:bookmarkStart w:id="13" w:name="bookmark13"/>
      <w:r w:rsidRPr="005739CA">
        <w:rPr>
          <w:sz w:val="22"/>
          <w:szCs w:val="22"/>
        </w:rPr>
        <w:t xml:space="preserve">ПРОДАВЕЦ: </w:t>
      </w:r>
      <w:r w:rsidRPr="005739CA">
        <w:rPr>
          <w:b/>
          <w:bCs/>
          <w:sz w:val="22"/>
          <w:szCs w:val="22"/>
        </w:rPr>
        <w:t xml:space="preserve">ООО </w:t>
      </w:r>
      <w:r w:rsidR="00C13735">
        <w:rPr>
          <w:b/>
          <w:bCs/>
          <w:sz w:val="22"/>
          <w:szCs w:val="22"/>
        </w:rPr>
        <w:t>“</w:t>
      </w:r>
      <w:r w:rsidRPr="005739CA">
        <w:rPr>
          <w:b/>
          <w:bCs/>
          <w:sz w:val="22"/>
          <w:szCs w:val="22"/>
        </w:rPr>
        <w:t>Пфайзер Инновации</w:t>
      </w:r>
      <w:r w:rsidR="00C13735">
        <w:rPr>
          <w:b/>
          <w:bCs/>
          <w:sz w:val="22"/>
          <w:szCs w:val="22"/>
        </w:rPr>
        <w:t>”</w:t>
      </w:r>
      <w:bookmarkEnd w:id="13"/>
    </w:p>
    <w:p w14:paraId="476A70E0" w14:textId="77777777" w:rsidR="00AC6FD1" w:rsidRPr="005739CA" w:rsidRDefault="00232CDD" w:rsidP="00AA17FE">
      <w:pPr>
        <w:jc w:val="both"/>
        <w:rPr>
          <w:sz w:val="22"/>
          <w:szCs w:val="22"/>
        </w:rPr>
      </w:pPr>
      <w:r w:rsidRPr="005739CA">
        <w:rPr>
          <w:sz w:val="22"/>
          <w:szCs w:val="22"/>
        </w:rPr>
        <w:t>ИНН/КПП 7703106050/770301001</w:t>
      </w:r>
    </w:p>
    <w:p w14:paraId="3FEEFE8E" w14:textId="77777777" w:rsidR="003B22DE" w:rsidRDefault="00232CDD" w:rsidP="00AA17FE">
      <w:pPr>
        <w:jc w:val="both"/>
        <w:rPr>
          <w:sz w:val="22"/>
          <w:szCs w:val="22"/>
        </w:rPr>
      </w:pPr>
      <w:r w:rsidRPr="005739CA">
        <w:rPr>
          <w:sz w:val="22"/>
          <w:szCs w:val="22"/>
        </w:rPr>
        <w:t>Юридический адрес: РФ, 123317 Москва, Пресненская наб., д. 10</w:t>
      </w:r>
    </w:p>
    <w:p w14:paraId="51ACF25B" w14:textId="77777777" w:rsidR="003B22DE" w:rsidRDefault="00232CDD" w:rsidP="00AA17FE">
      <w:pPr>
        <w:jc w:val="both"/>
        <w:rPr>
          <w:sz w:val="22"/>
          <w:szCs w:val="22"/>
        </w:rPr>
      </w:pPr>
      <w:r w:rsidRPr="005739CA">
        <w:rPr>
          <w:sz w:val="22"/>
          <w:szCs w:val="22"/>
        </w:rPr>
        <w:t>Фактический адрес: РФ, 123317 Москва, Пресненская наб., д. 10</w:t>
      </w:r>
    </w:p>
    <w:p w14:paraId="5B9A3004" w14:textId="77777777" w:rsidR="003B22DE" w:rsidRDefault="00232CDD" w:rsidP="00AA17FE">
      <w:pPr>
        <w:jc w:val="both"/>
        <w:rPr>
          <w:sz w:val="22"/>
          <w:szCs w:val="22"/>
        </w:rPr>
      </w:pPr>
      <w:r w:rsidRPr="005739CA">
        <w:rPr>
          <w:sz w:val="22"/>
          <w:szCs w:val="22"/>
        </w:rPr>
        <w:t>Телефон: (495) 287 50 00</w:t>
      </w:r>
    </w:p>
    <w:p w14:paraId="565DB8F9" w14:textId="77777777" w:rsidR="003B22DE" w:rsidRDefault="00232CDD" w:rsidP="00AA17FE">
      <w:pPr>
        <w:jc w:val="both"/>
        <w:rPr>
          <w:sz w:val="22"/>
          <w:szCs w:val="22"/>
        </w:rPr>
      </w:pPr>
      <w:r w:rsidRPr="005739CA">
        <w:rPr>
          <w:sz w:val="22"/>
          <w:szCs w:val="22"/>
        </w:rPr>
        <w:t>Факс: (495)287 53 00</w:t>
      </w:r>
    </w:p>
    <w:p w14:paraId="27D3F5D1" w14:textId="77777777" w:rsidR="003B22DE" w:rsidRDefault="00232CDD" w:rsidP="00AA17FE">
      <w:pPr>
        <w:jc w:val="both"/>
        <w:rPr>
          <w:sz w:val="22"/>
          <w:szCs w:val="22"/>
        </w:rPr>
      </w:pPr>
      <w:r w:rsidRPr="005739CA">
        <w:rPr>
          <w:sz w:val="22"/>
          <w:szCs w:val="22"/>
        </w:rPr>
        <w:t>Банковские реквизиты:</w:t>
      </w:r>
    </w:p>
    <w:p w14:paraId="0F6E3158" w14:textId="77777777" w:rsidR="003B22DE" w:rsidRDefault="00232CDD" w:rsidP="00AA17FE">
      <w:pPr>
        <w:jc w:val="both"/>
        <w:rPr>
          <w:sz w:val="22"/>
          <w:szCs w:val="22"/>
        </w:rPr>
      </w:pPr>
      <w:r w:rsidRPr="005739CA">
        <w:rPr>
          <w:sz w:val="22"/>
          <w:szCs w:val="22"/>
        </w:rPr>
        <w:t>Р/с 40702810600703173001</w:t>
      </w:r>
    </w:p>
    <w:p w14:paraId="62340050" w14:textId="632892C5" w:rsidR="003B22DE" w:rsidRDefault="00232CDD" w:rsidP="00AA17FE">
      <w:pPr>
        <w:jc w:val="both"/>
        <w:rPr>
          <w:sz w:val="22"/>
          <w:szCs w:val="22"/>
        </w:rPr>
      </w:pPr>
      <w:r w:rsidRPr="005739CA">
        <w:rPr>
          <w:sz w:val="22"/>
          <w:szCs w:val="22"/>
        </w:rPr>
        <w:t xml:space="preserve">в банке ЗАО </w:t>
      </w:r>
      <w:r w:rsidR="00C13735">
        <w:rPr>
          <w:sz w:val="22"/>
          <w:szCs w:val="22"/>
        </w:rPr>
        <w:t>“</w:t>
      </w:r>
      <w:r w:rsidRPr="005739CA">
        <w:rPr>
          <w:sz w:val="22"/>
          <w:szCs w:val="22"/>
        </w:rPr>
        <w:t>Ситибанк</w:t>
      </w:r>
      <w:r w:rsidR="00C13735">
        <w:rPr>
          <w:sz w:val="22"/>
          <w:szCs w:val="22"/>
        </w:rPr>
        <w:t>”</w:t>
      </w:r>
      <w:r w:rsidRPr="005739CA">
        <w:rPr>
          <w:sz w:val="22"/>
          <w:szCs w:val="22"/>
        </w:rPr>
        <w:t xml:space="preserve"> г. Москва</w:t>
      </w:r>
    </w:p>
    <w:p w14:paraId="4543E5F7" w14:textId="77777777" w:rsidR="003B22DE" w:rsidRDefault="00232CDD" w:rsidP="00AA17FE">
      <w:pPr>
        <w:jc w:val="both"/>
        <w:rPr>
          <w:sz w:val="22"/>
          <w:szCs w:val="22"/>
        </w:rPr>
      </w:pPr>
      <w:r w:rsidRPr="005739CA">
        <w:rPr>
          <w:sz w:val="22"/>
          <w:szCs w:val="22"/>
        </w:rPr>
        <w:t>к/с 30101810300000000202</w:t>
      </w:r>
    </w:p>
    <w:p w14:paraId="597920E8" w14:textId="2400943E" w:rsidR="00AC6FD1" w:rsidRPr="005739CA" w:rsidRDefault="00232CDD" w:rsidP="00AA17FE">
      <w:pPr>
        <w:jc w:val="both"/>
        <w:rPr>
          <w:sz w:val="22"/>
          <w:szCs w:val="22"/>
        </w:rPr>
      </w:pPr>
      <w:r w:rsidRPr="005739CA">
        <w:rPr>
          <w:sz w:val="22"/>
          <w:szCs w:val="22"/>
        </w:rPr>
        <w:t>БИК 044525202</w:t>
      </w:r>
    </w:p>
    <w:p w14:paraId="16F054D4" w14:textId="00B56728" w:rsidR="00AC6FD1" w:rsidRPr="005739CA" w:rsidRDefault="00232CDD" w:rsidP="003B22DE">
      <w:pPr>
        <w:spacing w:before="240" w:after="240"/>
        <w:jc w:val="both"/>
        <w:outlineLvl w:val="0"/>
        <w:rPr>
          <w:sz w:val="22"/>
          <w:szCs w:val="22"/>
        </w:rPr>
      </w:pPr>
      <w:bookmarkStart w:id="14" w:name="bookmark14"/>
      <w:r w:rsidRPr="005739CA">
        <w:rPr>
          <w:sz w:val="22"/>
          <w:szCs w:val="22"/>
        </w:rPr>
        <w:t xml:space="preserve">ПОКУПАТЕЛЬ: </w:t>
      </w:r>
      <w:r w:rsidRPr="005739CA">
        <w:rPr>
          <w:b/>
          <w:bCs/>
          <w:sz w:val="22"/>
          <w:szCs w:val="22"/>
        </w:rPr>
        <w:t xml:space="preserve">ЗАО </w:t>
      </w:r>
      <w:r w:rsidR="00C13735">
        <w:rPr>
          <w:b/>
          <w:bCs/>
          <w:sz w:val="22"/>
          <w:szCs w:val="22"/>
        </w:rPr>
        <w:t>“</w:t>
      </w:r>
      <w:r w:rsidRPr="005739CA">
        <w:rPr>
          <w:b/>
          <w:bCs/>
          <w:sz w:val="22"/>
          <w:szCs w:val="22"/>
        </w:rPr>
        <w:t xml:space="preserve">Многопрофильная медицинская компания </w:t>
      </w:r>
      <w:r w:rsidR="00C13735">
        <w:rPr>
          <w:b/>
          <w:bCs/>
          <w:sz w:val="22"/>
          <w:szCs w:val="22"/>
        </w:rPr>
        <w:t>“</w:t>
      </w:r>
      <w:proofErr w:type="spellStart"/>
      <w:r w:rsidRPr="005739CA">
        <w:rPr>
          <w:b/>
          <w:bCs/>
          <w:sz w:val="22"/>
          <w:szCs w:val="22"/>
        </w:rPr>
        <w:t>Формед</w:t>
      </w:r>
      <w:proofErr w:type="spellEnd"/>
      <w:r w:rsidR="00C13735">
        <w:rPr>
          <w:b/>
          <w:bCs/>
          <w:sz w:val="22"/>
          <w:szCs w:val="22"/>
        </w:rPr>
        <w:t>”</w:t>
      </w:r>
      <w:bookmarkEnd w:id="14"/>
    </w:p>
    <w:p w14:paraId="1CF2F5C0" w14:textId="77777777" w:rsidR="00AC6FD1" w:rsidRPr="005739CA" w:rsidRDefault="00232CDD" w:rsidP="00AA17FE">
      <w:pPr>
        <w:jc w:val="both"/>
        <w:rPr>
          <w:sz w:val="22"/>
          <w:szCs w:val="22"/>
        </w:rPr>
      </w:pPr>
      <w:r w:rsidRPr="005739CA">
        <w:rPr>
          <w:sz w:val="22"/>
          <w:szCs w:val="22"/>
        </w:rPr>
        <w:t>ИНН 7728570922 КПП 772801001</w:t>
      </w:r>
    </w:p>
    <w:p w14:paraId="2EC1527F" w14:textId="459BF075" w:rsidR="003B22DE" w:rsidRDefault="00232CDD" w:rsidP="00AA17FE">
      <w:pPr>
        <w:jc w:val="both"/>
        <w:rPr>
          <w:sz w:val="22"/>
          <w:szCs w:val="22"/>
        </w:rPr>
      </w:pPr>
      <w:r w:rsidRPr="005739CA">
        <w:rPr>
          <w:sz w:val="22"/>
          <w:szCs w:val="22"/>
        </w:rPr>
        <w:t xml:space="preserve">Юридический адрес: РФ, 117321, </w:t>
      </w:r>
      <w:r w:rsidR="00C16F23" w:rsidRPr="005739CA">
        <w:rPr>
          <w:sz w:val="22"/>
          <w:szCs w:val="22"/>
        </w:rPr>
        <w:t>г. Москва</w:t>
      </w:r>
      <w:r w:rsidRPr="005739CA">
        <w:rPr>
          <w:sz w:val="22"/>
          <w:szCs w:val="22"/>
        </w:rPr>
        <w:t xml:space="preserve">, </w:t>
      </w:r>
      <w:r w:rsidR="00C16F23" w:rsidRPr="005739CA">
        <w:rPr>
          <w:sz w:val="22"/>
          <w:szCs w:val="22"/>
        </w:rPr>
        <w:t>ул. Профсоюзная</w:t>
      </w:r>
      <w:r w:rsidRPr="005739CA">
        <w:rPr>
          <w:sz w:val="22"/>
          <w:szCs w:val="22"/>
        </w:rPr>
        <w:t xml:space="preserve">, </w:t>
      </w:r>
      <w:r w:rsidR="00C13735" w:rsidRPr="005739CA">
        <w:rPr>
          <w:sz w:val="22"/>
          <w:szCs w:val="22"/>
        </w:rPr>
        <w:t>д.</w:t>
      </w:r>
      <w:r w:rsidR="00C13735">
        <w:rPr>
          <w:sz w:val="22"/>
          <w:szCs w:val="22"/>
        </w:rPr>
        <w:t xml:space="preserve"> </w:t>
      </w:r>
      <w:r w:rsidR="00C13735" w:rsidRPr="005739CA">
        <w:rPr>
          <w:sz w:val="22"/>
          <w:szCs w:val="22"/>
        </w:rPr>
        <w:t>1</w:t>
      </w:r>
      <w:r w:rsidRPr="005739CA">
        <w:rPr>
          <w:sz w:val="22"/>
          <w:szCs w:val="22"/>
        </w:rPr>
        <w:t>28, кор</w:t>
      </w:r>
      <w:r w:rsidR="00C13735" w:rsidRPr="005739CA">
        <w:rPr>
          <w:sz w:val="22"/>
          <w:szCs w:val="22"/>
        </w:rPr>
        <w:t>п.</w:t>
      </w:r>
      <w:r w:rsidR="00C13735">
        <w:rPr>
          <w:sz w:val="22"/>
          <w:szCs w:val="22"/>
        </w:rPr>
        <w:t xml:space="preserve"> </w:t>
      </w:r>
      <w:r w:rsidR="00C13735" w:rsidRPr="005739CA">
        <w:rPr>
          <w:sz w:val="22"/>
          <w:szCs w:val="22"/>
        </w:rPr>
        <w:t>2</w:t>
      </w:r>
    </w:p>
    <w:p w14:paraId="46DABFC9" w14:textId="5CDA661A" w:rsidR="003B22DE" w:rsidRDefault="00232CDD" w:rsidP="00AA17FE">
      <w:pPr>
        <w:jc w:val="both"/>
        <w:rPr>
          <w:sz w:val="22"/>
          <w:szCs w:val="22"/>
        </w:rPr>
      </w:pPr>
      <w:r w:rsidRPr="005739CA">
        <w:rPr>
          <w:sz w:val="22"/>
          <w:szCs w:val="22"/>
        </w:rPr>
        <w:t xml:space="preserve">Фактический адрес: РФ, 117321, </w:t>
      </w:r>
      <w:r w:rsidR="00C16F23" w:rsidRPr="005739CA">
        <w:rPr>
          <w:sz w:val="22"/>
          <w:szCs w:val="22"/>
        </w:rPr>
        <w:t>г. Москва</w:t>
      </w:r>
      <w:r w:rsidRPr="005739CA">
        <w:rPr>
          <w:sz w:val="22"/>
          <w:szCs w:val="22"/>
        </w:rPr>
        <w:t>, ул</w:t>
      </w:r>
      <w:r w:rsidR="00C16F23">
        <w:rPr>
          <w:sz w:val="22"/>
          <w:szCs w:val="22"/>
        </w:rPr>
        <w:t xml:space="preserve">. </w:t>
      </w:r>
      <w:r w:rsidRPr="005739CA">
        <w:rPr>
          <w:sz w:val="22"/>
          <w:szCs w:val="22"/>
        </w:rPr>
        <w:t xml:space="preserve">Профсоюзная, </w:t>
      </w:r>
      <w:r w:rsidR="00C13735" w:rsidRPr="005739CA">
        <w:rPr>
          <w:sz w:val="22"/>
          <w:szCs w:val="22"/>
        </w:rPr>
        <w:t>д.</w:t>
      </w:r>
      <w:r w:rsidR="00C13735">
        <w:rPr>
          <w:sz w:val="22"/>
          <w:szCs w:val="22"/>
        </w:rPr>
        <w:t xml:space="preserve"> </w:t>
      </w:r>
      <w:r w:rsidR="00C13735" w:rsidRPr="005739CA">
        <w:rPr>
          <w:sz w:val="22"/>
          <w:szCs w:val="22"/>
        </w:rPr>
        <w:t>1</w:t>
      </w:r>
      <w:r w:rsidRPr="005739CA">
        <w:rPr>
          <w:sz w:val="22"/>
          <w:szCs w:val="22"/>
        </w:rPr>
        <w:t>28, кор</w:t>
      </w:r>
      <w:r w:rsidR="00C13735" w:rsidRPr="005739CA">
        <w:rPr>
          <w:sz w:val="22"/>
          <w:szCs w:val="22"/>
        </w:rPr>
        <w:t>п.</w:t>
      </w:r>
      <w:r w:rsidR="00C13735">
        <w:rPr>
          <w:sz w:val="22"/>
          <w:szCs w:val="22"/>
        </w:rPr>
        <w:t xml:space="preserve"> </w:t>
      </w:r>
      <w:r w:rsidR="00C13735" w:rsidRPr="005739CA">
        <w:rPr>
          <w:sz w:val="22"/>
          <w:szCs w:val="22"/>
        </w:rPr>
        <w:t>2</w:t>
      </w:r>
    </w:p>
    <w:p w14:paraId="5019C3AF" w14:textId="77777777" w:rsidR="003B22DE" w:rsidRDefault="00232CDD" w:rsidP="00AA17FE">
      <w:pPr>
        <w:jc w:val="both"/>
        <w:rPr>
          <w:sz w:val="22"/>
          <w:szCs w:val="22"/>
        </w:rPr>
      </w:pPr>
      <w:r w:rsidRPr="005739CA">
        <w:rPr>
          <w:sz w:val="22"/>
          <w:szCs w:val="22"/>
        </w:rPr>
        <w:t>Телефон: 8-800-333-62-54</w:t>
      </w:r>
    </w:p>
    <w:p w14:paraId="595FB239" w14:textId="77777777" w:rsidR="003B22DE" w:rsidRDefault="00232CDD" w:rsidP="00AA17FE">
      <w:pPr>
        <w:jc w:val="both"/>
        <w:rPr>
          <w:sz w:val="22"/>
          <w:szCs w:val="22"/>
        </w:rPr>
      </w:pPr>
      <w:r w:rsidRPr="005739CA">
        <w:rPr>
          <w:sz w:val="22"/>
          <w:szCs w:val="22"/>
        </w:rPr>
        <w:t>Факс: (495)741-79-09</w:t>
      </w:r>
    </w:p>
    <w:p w14:paraId="086C2E61" w14:textId="77777777" w:rsidR="003B22DE" w:rsidRDefault="00232CDD" w:rsidP="00AA17FE">
      <w:pPr>
        <w:jc w:val="both"/>
        <w:rPr>
          <w:sz w:val="22"/>
          <w:szCs w:val="22"/>
        </w:rPr>
      </w:pPr>
      <w:r w:rsidRPr="005739CA">
        <w:rPr>
          <w:sz w:val="22"/>
          <w:szCs w:val="22"/>
        </w:rPr>
        <w:t>Банковские реквизиты:</w:t>
      </w:r>
    </w:p>
    <w:p w14:paraId="2FCA8B16" w14:textId="40293893" w:rsidR="00AC6FD1" w:rsidRPr="005739CA" w:rsidRDefault="00232CDD" w:rsidP="00AA17FE">
      <w:pPr>
        <w:jc w:val="both"/>
        <w:rPr>
          <w:sz w:val="22"/>
          <w:szCs w:val="22"/>
        </w:rPr>
      </w:pPr>
      <w:r w:rsidRPr="005739CA">
        <w:rPr>
          <w:sz w:val="22"/>
          <w:szCs w:val="22"/>
        </w:rPr>
        <w:t>Р/с 40702810100030004282</w:t>
      </w:r>
    </w:p>
    <w:p w14:paraId="084697A6" w14:textId="77777777" w:rsidR="00AC6FD1" w:rsidRPr="005739CA" w:rsidRDefault="00232CDD" w:rsidP="00AA17FE">
      <w:pPr>
        <w:jc w:val="both"/>
        <w:rPr>
          <w:sz w:val="22"/>
          <w:szCs w:val="22"/>
        </w:rPr>
      </w:pPr>
      <w:r w:rsidRPr="005739CA">
        <w:rPr>
          <w:sz w:val="22"/>
          <w:szCs w:val="22"/>
        </w:rPr>
        <w:t>в ПАО БАНК ВТБ</w:t>
      </w:r>
    </w:p>
    <w:p w14:paraId="173467D1" w14:textId="77777777" w:rsidR="00AC6FD1" w:rsidRPr="005739CA" w:rsidRDefault="00232CDD" w:rsidP="00AA17FE">
      <w:pPr>
        <w:jc w:val="both"/>
        <w:rPr>
          <w:sz w:val="22"/>
          <w:szCs w:val="22"/>
        </w:rPr>
      </w:pPr>
      <w:r w:rsidRPr="005739CA">
        <w:rPr>
          <w:sz w:val="22"/>
          <w:szCs w:val="22"/>
        </w:rPr>
        <w:t>к/с 30101810700000000187</w:t>
      </w:r>
    </w:p>
    <w:p w14:paraId="507F6C5B" w14:textId="77777777" w:rsidR="00AC6FD1" w:rsidRPr="005739CA" w:rsidRDefault="00232CDD" w:rsidP="00AA17FE">
      <w:pPr>
        <w:jc w:val="both"/>
        <w:rPr>
          <w:sz w:val="22"/>
          <w:szCs w:val="22"/>
        </w:rPr>
      </w:pPr>
      <w:r w:rsidRPr="005739CA">
        <w:rPr>
          <w:sz w:val="22"/>
          <w:szCs w:val="22"/>
        </w:rPr>
        <w:t>БИК 044525187</w:t>
      </w:r>
    </w:p>
    <w:p w14:paraId="436CB813" w14:textId="439BB696" w:rsidR="00AC6FD1" w:rsidRPr="005739CA" w:rsidRDefault="00232CDD" w:rsidP="00AA17FE">
      <w:pPr>
        <w:jc w:val="both"/>
        <w:rPr>
          <w:sz w:val="22"/>
          <w:szCs w:val="22"/>
        </w:rPr>
      </w:pPr>
      <w:r w:rsidRPr="005739CA">
        <w:rPr>
          <w:sz w:val="22"/>
          <w:szCs w:val="22"/>
        </w:rPr>
        <w:t xml:space="preserve">Данные о лицензии: серия ФС-2 номер 0016276 дата выдачи </w:t>
      </w:r>
      <w:r w:rsidR="00C13735" w:rsidRPr="005739CA">
        <w:rPr>
          <w:sz w:val="22"/>
          <w:szCs w:val="22"/>
        </w:rPr>
        <w:t>04</w:t>
      </w:r>
      <w:r w:rsidR="00C13735">
        <w:rPr>
          <w:sz w:val="22"/>
          <w:szCs w:val="22"/>
        </w:rPr>
        <w:t>/</w:t>
      </w:r>
      <w:r w:rsidR="00C13735" w:rsidRPr="005739CA">
        <w:rPr>
          <w:sz w:val="22"/>
          <w:szCs w:val="22"/>
        </w:rPr>
        <w:t>20</w:t>
      </w:r>
      <w:r w:rsidR="00C13735">
        <w:rPr>
          <w:sz w:val="22"/>
          <w:szCs w:val="22"/>
        </w:rPr>
        <w:t>/</w:t>
      </w:r>
      <w:r w:rsidR="00C13735" w:rsidRPr="005739CA">
        <w:rPr>
          <w:sz w:val="22"/>
          <w:szCs w:val="22"/>
        </w:rPr>
        <w:t>2011</w:t>
      </w:r>
      <w:r w:rsidRPr="005739CA">
        <w:rPr>
          <w:sz w:val="22"/>
          <w:szCs w:val="22"/>
        </w:rPr>
        <w:t xml:space="preserve"> выдана Федеральной службой по надзору в сфере здравоохранения и социального развития.</w:t>
      </w:r>
    </w:p>
    <w:p w14:paraId="3CDE82A6" w14:textId="77777777" w:rsidR="00AC6FD1" w:rsidRPr="005739CA" w:rsidRDefault="00232CDD" w:rsidP="00AA17FE">
      <w:pPr>
        <w:jc w:val="both"/>
        <w:rPr>
          <w:sz w:val="22"/>
          <w:szCs w:val="22"/>
        </w:rPr>
      </w:pPr>
      <w:r w:rsidRPr="005739CA">
        <w:rPr>
          <w:sz w:val="22"/>
          <w:szCs w:val="22"/>
        </w:rPr>
        <w:t>Разрешенные виды деятельности: оптовая фармацевтическая</w:t>
      </w:r>
    </w:p>
    <w:p w14:paraId="3F46FAAA" w14:textId="70A18A6D" w:rsidR="00AC6FD1" w:rsidRPr="005739CA" w:rsidRDefault="00232CDD" w:rsidP="00AA17FE">
      <w:pPr>
        <w:jc w:val="both"/>
        <w:rPr>
          <w:sz w:val="22"/>
          <w:szCs w:val="22"/>
        </w:rPr>
      </w:pPr>
      <w:r w:rsidRPr="005739CA">
        <w:rPr>
          <w:sz w:val="22"/>
          <w:szCs w:val="22"/>
        </w:rPr>
        <w:t xml:space="preserve">Область действия лицензии: Аптечный склад: 117321, </w:t>
      </w:r>
      <w:r w:rsidR="00C16F23" w:rsidRPr="005739CA">
        <w:rPr>
          <w:sz w:val="22"/>
          <w:szCs w:val="22"/>
        </w:rPr>
        <w:t>г. Москва</w:t>
      </w:r>
      <w:r w:rsidRPr="005739CA">
        <w:rPr>
          <w:sz w:val="22"/>
          <w:szCs w:val="22"/>
        </w:rPr>
        <w:t>, ул.</w:t>
      </w:r>
      <w:r w:rsidR="00C16F23">
        <w:rPr>
          <w:sz w:val="22"/>
          <w:szCs w:val="22"/>
        </w:rPr>
        <w:t xml:space="preserve"> </w:t>
      </w:r>
      <w:r w:rsidRPr="005739CA">
        <w:rPr>
          <w:sz w:val="22"/>
          <w:szCs w:val="22"/>
        </w:rPr>
        <w:t xml:space="preserve">Профсоюзная, </w:t>
      </w:r>
      <w:r w:rsidR="00C13735" w:rsidRPr="005739CA">
        <w:rPr>
          <w:sz w:val="22"/>
          <w:szCs w:val="22"/>
        </w:rPr>
        <w:t>д.</w:t>
      </w:r>
      <w:r w:rsidR="00C13735">
        <w:rPr>
          <w:sz w:val="22"/>
          <w:szCs w:val="22"/>
        </w:rPr>
        <w:t xml:space="preserve"> </w:t>
      </w:r>
      <w:r w:rsidR="00C13735" w:rsidRPr="005739CA">
        <w:rPr>
          <w:sz w:val="22"/>
          <w:szCs w:val="22"/>
        </w:rPr>
        <w:t>1</w:t>
      </w:r>
      <w:r w:rsidRPr="005739CA">
        <w:rPr>
          <w:sz w:val="22"/>
          <w:szCs w:val="22"/>
        </w:rPr>
        <w:t>28, кор</w:t>
      </w:r>
      <w:r w:rsidR="00C13735" w:rsidRPr="005739CA">
        <w:rPr>
          <w:sz w:val="22"/>
          <w:szCs w:val="22"/>
        </w:rPr>
        <w:t>п.</w:t>
      </w:r>
      <w:r w:rsidR="00C13735">
        <w:rPr>
          <w:sz w:val="22"/>
          <w:szCs w:val="22"/>
        </w:rPr>
        <w:t xml:space="preserve"> </w:t>
      </w:r>
      <w:r w:rsidR="00C13735" w:rsidRPr="005739CA">
        <w:rPr>
          <w:sz w:val="22"/>
          <w:szCs w:val="22"/>
        </w:rPr>
        <w:t>2</w:t>
      </w:r>
    </w:p>
    <w:p w14:paraId="210B15DD" w14:textId="57F29AD9" w:rsidR="00AC6FD1" w:rsidRPr="005739CA" w:rsidRDefault="00232CDD" w:rsidP="00DF707A">
      <w:pPr>
        <w:pStyle w:val="Heading1"/>
      </w:pPr>
      <w:bookmarkStart w:id="15" w:name="bookmark15"/>
      <w:r w:rsidRPr="005739CA">
        <w:t>ПОДПИСИ СТОРОН</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8"/>
        <w:gridCol w:w="851"/>
        <w:gridCol w:w="5261"/>
      </w:tblGrid>
      <w:tr w:rsidR="00A233EC" w:rsidRPr="004D1AA8" w14:paraId="0559A29C" w14:textId="77777777" w:rsidTr="006665D8">
        <w:tc>
          <w:tcPr>
            <w:tcW w:w="4678" w:type="dxa"/>
            <w:vAlign w:val="center"/>
          </w:tcPr>
          <w:p w14:paraId="58E72F8E" w14:textId="5BAD8BE2" w:rsidR="00A233EC" w:rsidRPr="004D1AA8" w:rsidRDefault="006665D8" w:rsidP="006665D8">
            <w:pPr>
              <w:pStyle w:val="Heading1"/>
              <w:numPr>
                <w:ilvl w:val="0"/>
                <w:numId w:val="0"/>
              </w:numPr>
              <w:tabs>
                <w:tab w:val="clear" w:pos="567"/>
              </w:tabs>
              <w:spacing w:before="0" w:after="0"/>
              <w:jc w:val="left"/>
            </w:pPr>
            <w:r w:rsidRPr="006665D8">
              <w:rPr>
                <w:b w:val="0"/>
                <w:bCs w:val="0"/>
              </w:rPr>
              <w:t>ПРОДАВЕЦ</w:t>
            </w:r>
            <w:r w:rsidRPr="004D1AA8">
              <w:t xml:space="preserve"> ООО </w:t>
            </w:r>
            <w:r w:rsidR="00C13735">
              <w:t>“</w:t>
            </w:r>
            <w:r w:rsidRPr="004D1AA8">
              <w:t>Пфайзер Инновации</w:t>
            </w:r>
            <w:r w:rsidR="00C13735">
              <w:t>”</w:t>
            </w:r>
          </w:p>
        </w:tc>
        <w:tc>
          <w:tcPr>
            <w:tcW w:w="851" w:type="dxa"/>
          </w:tcPr>
          <w:p w14:paraId="38184416" w14:textId="77777777" w:rsidR="00A233EC" w:rsidRPr="004D1AA8" w:rsidRDefault="00A233EC" w:rsidP="00D45D8E"/>
        </w:tc>
        <w:tc>
          <w:tcPr>
            <w:tcW w:w="5261" w:type="dxa"/>
          </w:tcPr>
          <w:p w14:paraId="15F8D03E" w14:textId="39C19265" w:rsidR="00A233EC" w:rsidRPr="004D1AA8" w:rsidRDefault="006665D8" w:rsidP="00D45D8E">
            <w:pPr>
              <w:rPr>
                <w:b/>
                <w:bCs/>
              </w:rPr>
            </w:pPr>
            <w:r w:rsidRPr="006665D8">
              <w:t>ПОКУПАТЕЛЬ:</w:t>
            </w:r>
            <w:r w:rsidR="00A233EC" w:rsidRPr="004D1AA8">
              <w:rPr>
                <w:b/>
                <w:bCs/>
              </w:rPr>
              <w:t xml:space="preserve"> ООО </w:t>
            </w:r>
            <w:r w:rsidR="00C13735">
              <w:rPr>
                <w:b/>
                <w:bCs/>
              </w:rPr>
              <w:t>“</w:t>
            </w:r>
            <w:r w:rsidR="00537713">
              <w:rPr>
                <w:b/>
                <w:bCs/>
              </w:rPr>
              <w:t>Многопрофильная медицинская компания</w:t>
            </w:r>
            <w:r w:rsidR="00A233EC" w:rsidRPr="004D1AA8">
              <w:rPr>
                <w:b/>
                <w:bCs/>
              </w:rPr>
              <w:t xml:space="preserve"> </w:t>
            </w:r>
            <w:r w:rsidR="00C13735">
              <w:rPr>
                <w:b/>
                <w:bCs/>
              </w:rPr>
              <w:t>“</w:t>
            </w:r>
            <w:r w:rsidR="00A233EC" w:rsidRPr="004D1AA8">
              <w:rPr>
                <w:b/>
                <w:bCs/>
              </w:rPr>
              <w:t>ФОРМЕД</w:t>
            </w:r>
            <w:r w:rsidR="00C13735">
              <w:rPr>
                <w:b/>
                <w:bCs/>
              </w:rPr>
              <w:t>”</w:t>
            </w:r>
          </w:p>
        </w:tc>
      </w:tr>
      <w:tr w:rsidR="00A233EC" w:rsidRPr="004D1AA8" w14:paraId="655A972B" w14:textId="77777777" w:rsidTr="00D45D8E">
        <w:tc>
          <w:tcPr>
            <w:tcW w:w="4678" w:type="dxa"/>
          </w:tcPr>
          <w:p w14:paraId="5ABFE41B" w14:textId="6B414E0F" w:rsidR="00A233EC" w:rsidRPr="004D1AA8" w:rsidRDefault="00A233EC" w:rsidP="00D45D8E">
            <w:pPr>
              <w:rPr>
                <w:b/>
                <w:bCs/>
              </w:rPr>
            </w:pPr>
          </w:p>
        </w:tc>
        <w:tc>
          <w:tcPr>
            <w:tcW w:w="851" w:type="dxa"/>
          </w:tcPr>
          <w:p w14:paraId="0E9ECACF" w14:textId="77777777" w:rsidR="00A233EC" w:rsidRPr="004D1AA8" w:rsidRDefault="00A233EC" w:rsidP="00D45D8E"/>
        </w:tc>
        <w:tc>
          <w:tcPr>
            <w:tcW w:w="5261" w:type="dxa"/>
          </w:tcPr>
          <w:p w14:paraId="7CD7295C" w14:textId="77777777" w:rsidR="00A233EC" w:rsidRPr="004D1AA8" w:rsidRDefault="00A233EC" w:rsidP="00D45D8E"/>
        </w:tc>
      </w:tr>
      <w:tr w:rsidR="00A233EC" w:rsidRPr="004D1AA8" w14:paraId="6B908D4E" w14:textId="77777777" w:rsidTr="00D45D8E">
        <w:tc>
          <w:tcPr>
            <w:tcW w:w="4678" w:type="dxa"/>
          </w:tcPr>
          <w:p w14:paraId="5F664A6D" w14:textId="52CEB760" w:rsidR="00A233EC" w:rsidRPr="004D1AA8" w:rsidRDefault="00A233EC" w:rsidP="00D45D8E">
            <w:pPr>
              <w:tabs>
                <w:tab w:val="left" w:pos="284"/>
                <w:tab w:val="left" w:pos="1688"/>
              </w:tabs>
            </w:pPr>
            <w:r w:rsidRPr="006665D8">
              <w:rPr>
                <w:i/>
                <w:iCs/>
                <w:sz w:val="22"/>
                <w:szCs w:val="22"/>
                <w:u w:val="single"/>
              </w:rPr>
              <w:tab/>
            </w:r>
            <w:r w:rsidRPr="004D1AA8">
              <w:rPr>
                <w:i/>
                <w:iCs/>
                <w:sz w:val="22"/>
                <w:szCs w:val="22"/>
                <w:u w:val="single"/>
                <w:lang w:val="en-US"/>
              </w:rPr>
              <w:t>[signature]</w:t>
            </w:r>
            <w:r w:rsidRPr="004D1AA8">
              <w:rPr>
                <w:i/>
                <w:iCs/>
                <w:sz w:val="22"/>
                <w:szCs w:val="22"/>
                <w:u w:val="single"/>
                <w:lang w:val="en-US"/>
              </w:rPr>
              <w:tab/>
            </w:r>
            <w:r w:rsidRPr="004D1AA8">
              <w:rPr>
                <w:lang w:val="en-US"/>
              </w:rPr>
              <w:t>/</w:t>
            </w:r>
          </w:p>
        </w:tc>
        <w:tc>
          <w:tcPr>
            <w:tcW w:w="851" w:type="dxa"/>
          </w:tcPr>
          <w:p w14:paraId="72421076" w14:textId="77777777" w:rsidR="00A233EC" w:rsidRPr="004D1AA8" w:rsidRDefault="00A233EC" w:rsidP="00D45D8E"/>
        </w:tc>
        <w:tc>
          <w:tcPr>
            <w:tcW w:w="5261" w:type="dxa"/>
          </w:tcPr>
          <w:p w14:paraId="6B7E690A" w14:textId="5F5DAFD8" w:rsidR="00A233EC" w:rsidRPr="004D1AA8" w:rsidRDefault="00A233EC" w:rsidP="00D45D8E">
            <w:r w:rsidRPr="004D1AA8">
              <w:rPr>
                <w:i/>
                <w:iCs/>
                <w:sz w:val="22"/>
                <w:szCs w:val="22"/>
                <w:u w:val="single"/>
                <w:lang w:val="en-US"/>
              </w:rPr>
              <w:tab/>
              <w:t>[signature]</w:t>
            </w:r>
            <w:r w:rsidRPr="004D1AA8">
              <w:rPr>
                <w:i/>
                <w:iCs/>
                <w:sz w:val="22"/>
                <w:szCs w:val="22"/>
                <w:u w:val="single"/>
                <w:lang w:val="en-US"/>
              </w:rPr>
              <w:tab/>
            </w:r>
            <w:r w:rsidRPr="004D1AA8">
              <w:rPr>
                <w:lang w:val="en-US"/>
              </w:rPr>
              <w:t>/</w:t>
            </w:r>
          </w:p>
        </w:tc>
      </w:tr>
      <w:tr w:rsidR="00A233EC" w:rsidRPr="004D1AA8" w14:paraId="09C78BA4" w14:textId="77777777" w:rsidTr="00D45D8E">
        <w:tc>
          <w:tcPr>
            <w:tcW w:w="4678" w:type="dxa"/>
          </w:tcPr>
          <w:p w14:paraId="2389E019" w14:textId="66205F22" w:rsidR="00A233EC" w:rsidRPr="004D1AA8" w:rsidRDefault="006665D8" w:rsidP="00D45D8E">
            <w:r>
              <w:rPr>
                <w:sz w:val="20"/>
                <w:szCs w:val="20"/>
              </w:rPr>
              <w:t>М.П.</w:t>
            </w:r>
          </w:p>
        </w:tc>
        <w:tc>
          <w:tcPr>
            <w:tcW w:w="851" w:type="dxa"/>
          </w:tcPr>
          <w:p w14:paraId="7B66F52C" w14:textId="77777777" w:rsidR="00A233EC" w:rsidRPr="004D1AA8" w:rsidRDefault="00A233EC" w:rsidP="00D45D8E"/>
        </w:tc>
        <w:tc>
          <w:tcPr>
            <w:tcW w:w="5261" w:type="dxa"/>
          </w:tcPr>
          <w:p w14:paraId="738EECEF" w14:textId="77777777" w:rsidR="006665D8" w:rsidRDefault="006665D8" w:rsidP="006665D8">
            <w:pPr>
              <w:rPr>
                <w:sz w:val="20"/>
                <w:szCs w:val="20"/>
              </w:rPr>
            </w:pPr>
            <w:r>
              <w:rPr>
                <w:sz w:val="20"/>
                <w:szCs w:val="20"/>
              </w:rPr>
              <w:t>М.П.</w:t>
            </w:r>
          </w:p>
          <w:p w14:paraId="37D88DE0" w14:textId="77777777" w:rsidR="00A233EC" w:rsidRPr="004D1AA8" w:rsidRDefault="00A233EC" w:rsidP="00D45D8E"/>
        </w:tc>
      </w:tr>
      <w:tr w:rsidR="00A233EC" w:rsidRPr="004D1AA8" w14:paraId="3BAF8F92" w14:textId="77777777" w:rsidTr="00D45D8E">
        <w:tc>
          <w:tcPr>
            <w:tcW w:w="4678" w:type="dxa"/>
          </w:tcPr>
          <w:p w14:paraId="4744CE12" w14:textId="70012445" w:rsidR="00A233EC" w:rsidRPr="004D1AA8" w:rsidRDefault="00537713" w:rsidP="00D45D8E">
            <w:r>
              <w:t xml:space="preserve">Дата </w:t>
            </w:r>
            <w:r w:rsidR="00C13735" w:rsidRPr="00537713">
              <w:rPr>
                <w:i/>
                <w:iCs/>
                <w:u w:val="single"/>
              </w:rPr>
              <w:t>12</w:t>
            </w:r>
            <w:r w:rsidR="00C13735">
              <w:rPr>
                <w:i/>
                <w:iCs/>
                <w:u w:val="single"/>
              </w:rPr>
              <w:t>/</w:t>
            </w:r>
            <w:r w:rsidR="00C13735" w:rsidRPr="00537713">
              <w:rPr>
                <w:i/>
                <w:iCs/>
                <w:u w:val="single"/>
              </w:rPr>
              <w:t>22</w:t>
            </w:r>
            <w:r w:rsidR="00C13735">
              <w:rPr>
                <w:i/>
                <w:iCs/>
                <w:u w:val="single"/>
              </w:rPr>
              <w:t>/</w:t>
            </w:r>
            <w:r w:rsidR="00C13735" w:rsidRPr="00537713">
              <w:rPr>
                <w:i/>
                <w:iCs/>
                <w:u w:val="single"/>
              </w:rPr>
              <w:t>15</w:t>
            </w:r>
          </w:p>
        </w:tc>
        <w:tc>
          <w:tcPr>
            <w:tcW w:w="851" w:type="dxa"/>
          </w:tcPr>
          <w:p w14:paraId="35A26AEC" w14:textId="77777777" w:rsidR="00A233EC" w:rsidRPr="004D1AA8" w:rsidRDefault="00A233EC" w:rsidP="00D45D8E"/>
        </w:tc>
        <w:tc>
          <w:tcPr>
            <w:tcW w:w="5261" w:type="dxa"/>
          </w:tcPr>
          <w:p w14:paraId="32ECA62B" w14:textId="497756C6" w:rsidR="00A233EC" w:rsidRPr="00537713" w:rsidRDefault="00537713" w:rsidP="00D45D8E">
            <w:r w:rsidRPr="00537713">
              <w:t>Дата</w:t>
            </w:r>
            <w:r w:rsidR="006665D8">
              <w:t>____________</w:t>
            </w:r>
          </w:p>
        </w:tc>
      </w:tr>
      <w:tr w:rsidR="00A233EC" w:rsidRPr="004D1AA8" w14:paraId="4CEFC3C4" w14:textId="77777777" w:rsidTr="00D45D8E">
        <w:tc>
          <w:tcPr>
            <w:tcW w:w="4678" w:type="dxa"/>
          </w:tcPr>
          <w:p w14:paraId="47BB8EF4" w14:textId="77777777" w:rsidR="00A233EC" w:rsidRPr="004D1AA8" w:rsidRDefault="00A233EC" w:rsidP="00D45D8E">
            <w:pPr>
              <w:rPr>
                <w:sz w:val="20"/>
                <w:szCs w:val="20"/>
              </w:rPr>
            </w:pPr>
            <w:r w:rsidRPr="004D1AA8">
              <w:rPr>
                <w:sz w:val="20"/>
                <w:szCs w:val="20"/>
              </w:rPr>
              <w:t>[</w:t>
            </w:r>
            <w:r w:rsidRPr="004D1AA8">
              <w:rPr>
                <w:sz w:val="20"/>
                <w:szCs w:val="20"/>
                <w:lang w:val="en-US"/>
              </w:rPr>
              <w:t>stamp</w:t>
            </w:r>
            <w:r w:rsidRPr="004D1AA8">
              <w:rPr>
                <w:sz w:val="20"/>
                <w:szCs w:val="20"/>
              </w:rPr>
              <w:t xml:space="preserve">]: </w:t>
            </w:r>
            <w:r w:rsidRPr="004D1AA8">
              <w:rPr>
                <w:sz w:val="20"/>
                <w:szCs w:val="20"/>
                <w:lang w:val="en-US"/>
              </w:rPr>
              <w:t>illegible</w:t>
            </w:r>
          </w:p>
          <w:p w14:paraId="01681025" w14:textId="2B6D30F6" w:rsidR="00A233EC" w:rsidRPr="004D1AA8" w:rsidRDefault="00A233EC" w:rsidP="00D45D8E">
            <w:pPr>
              <w:rPr>
                <w:sz w:val="20"/>
                <w:szCs w:val="20"/>
              </w:rPr>
            </w:pPr>
            <w:r w:rsidRPr="004D1AA8">
              <w:rPr>
                <w:sz w:val="20"/>
                <w:szCs w:val="20"/>
                <w:lang w:val="en-US"/>
              </w:rPr>
              <w:sym w:font="Wingdings" w:char="F0AB"/>
            </w:r>
            <w:r w:rsidRPr="004D1AA8">
              <w:rPr>
                <w:sz w:val="20"/>
                <w:szCs w:val="20"/>
              </w:rPr>
              <w:t>МОСКВА</w:t>
            </w:r>
            <w:r w:rsidRPr="004D1AA8">
              <w:rPr>
                <w:sz w:val="20"/>
                <w:szCs w:val="20"/>
              </w:rPr>
              <w:sym w:font="Wingdings" w:char="F0AB"/>
            </w:r>
            <w:r w:rsidRPr="004D1AA8">
              <w:rPr>
                <w:sz w:val="20"/>
                <w:szCs w:val="20"/>
              </w:rPr>
              <w:t xml:space="preserve"> ОБЩЕСТВО С ОГРАНИЧЕННОЙ ОТВЕТСТВЕННОСТЬЮ</w:t>
            </w:r>
            <w:r w:rsidRPr="004D1AA8">
              <w:rPr>
                <w:sz w:val="20"/>
                <w:szCs w:val="20"/>
              </w:rPr>
              <w:sym w:font="Wingdings" w:char="F0AB"/>
            </w:r>
            <w:r w:rsidRPr="004D1AA8">
              <w:rPr>
                <w:sz w:val="20"/>
                <w:szCs w:val="20"/>
              </w:rPr>
              <w:t>ОГРН</w:t>
            </w:r>
            <w:r w:rsidR="0045562D" w:rsidRPr="0045562D">
              <w:rPr>
                <w:sz w:val="20"/>
                <w:szCs w:val="20"/>
                <w:highlight w:val="yellow"/>
              </w:rPr>
              <w:t>[illegible]</w:t>
            </w:r>
          </w:p>
          <w:p w14:paraId="10400554" w14:textId="4D1D0E32" w:rsidR="00A233EC" w:rsidRPr="004D1AA8" w:rsidRDefault="00C13735" w:rsidP="00D45D8E">
            <w:pPr>
              <w:rPr>
                <w:sz w:val="20"/>
                <w:szCs w:val="20"/>
                <w:lang w:val="en-US"/>
              </w:rPr>
            </w:pPr>
            <w:r>
              <w:rPr>
                <w:sz w:val="20"/>
                <w:szCs w:val="20"/>
                <w:lang w:val="en-US"/>
              </w:rPr>
              <w:t>“</w:t>
            </w:r>
            <w:r w:rsidR="00A233EC" w:rsidRPr="004D1AA8">
              <w:rPr>
                <w:sz w:val="20"/>
                <w:szCs w:val="20"/>
              </w:rPr>
              <w:t>Пфайзер</w:t>
            </w:r>
            <w:r w:rsidR="00A233EC" w:rsidRPr="004D1AA8">
              <w:rPr>
                <w:sz w:val="20"/>
                <w:szCs w:val="20"/>
                <w:lang w:val="en-US"/>
              </w:rPr>
              <w:t xml:space="preserve"> </w:t>
            </w:r>
            <w:r w:rsidR="00A233EC" w:rsidRPr="004D1AA8">
              <w:rPr>
                <w:sz w:val="20"/>
                <w:szCs w:val="20"/>
              </w:rPr>
              <w:t>Инновации</w:t>
            </w:r>
            <w:r>
              <w:rPr>
                <w:sz w:val="20"/>
                <w:szCs w:val="20"/>
                <w:lang w:val="en-US"/>
              </w:rPr>
              <w:t>”</w:t>
            </w:r>
          </w:p>
          <w:p w14:paraId="03192F9A" w14:textId="77777777" w:rsidR="00A233EC" w:rsidRPr="004D1AA8" w:rsidRDefault="00A233EC" w:rsidP="00D45D8E">
            <w:pPr>
              <w:rPr>
                <w:lang w:val="en-US"/>
              </w:rPr>
            </w:pPr>
            <w:r w:rsidRPr="004D1AA8">
              <w:rPr>
                <w:sz w:val="20"/>
                <w:szCs w:val="20"/>
                <w:lang w:val="en-US"/>
              </w:rPr>
              <w:t>Pfizer Innovations LLC</w:t>
            </w:r>
          </w:p>
        </w:tc>
        <w:tc>
          <w:tcPr>
            <w:tcW w:w="851" w:type="dxa"/>
          </w:tcPr>
          <w:p w14:paraId="7843DBE1" w14:textId="77777777" w:rsidR="00A233EC" w:rsidRPr="004D1AA8" w:rsidRDefault="00A233EC" w:rsidP="00D45D8E">
            <w:pPr>
              <w:rPr>
                <w:lang w:val="en-US"/>
              </w:rPr>
            </w:pPr>
          </w:p>
        </w:tc>
        <w:tc>
          <w:tcPr>
            <w:tcW w:w="5261" w:type="dxa"/>
          </w:tcPr>
          <w:p w14:paraId="544DEFA7" w14:textId="77777777" w:rsidR="00A233EC" w:rsidRPr="004D1AA8" w:rsidRDefault="00A233EC" w:rsidP="00D45D8E">
            <w:pPr>
              <w:rPr>
                <w:sz w:val="20"/>
                <w:szCs w:val="20"/>
                <w:lang w:val="en-US"/>
              </w:rPr>
            </w:pPr>
            <w:r w:rsidRPr="004D1AA8">
              <w:rPr>
                <w:sz w:val="20"/>
                <w:szCs w:val="20"/>
                <w:lang w:val="en-US"/>
              </w:rPr>
              <w:t xml:space="preserve">[stamp]: </w:t>
            </w:r>
            <w:r w:rsidRPr="004D1AA8">
              <w:rPr>
                <w:sz w:val="20"/>
                <w:szCs w:val="20"/>
                <w:highlight w:val="yellow"/>
                <w:lang w:val="en-US"/>
              </w:rPr>
              <w:t>illegible</w:t>
            </w:r>
          </w:p>
        </w:tc>
      </w:tr>
    </w:tbl>
    <w:p w14:paraId="7D08A864" w14:textId="77777777" w:rsidR="006665D8" w:rsidRDefault="00232CDD" w:rsidP="006665D8">
      <w:pPr>
        <w:jc w:val="right"/>
        <w:rPr>
          <w:sz w:val="22"/>
          <w:szCs w:val="22"/>
        </w:rPr>
      </w:pPr>
      <w:r w:rsidRPr="005739CA">
        <w:rPr>
          <w:sz w:val="22"/>
          <w:szCs w:val="22"/>
        </w:rPr>
        <w:lastRenderedPageBreak/>
        <w:t>Приложение А</w:t>
      </w:r>
    </w:p>
    <w:p w14:paraId="3F600811" w14:textId="77777777" w:rsidR="006665D8" w:rsidRDefault="00232CDD" w:rsidP="006665D8">
      <w:pPr>
        <w:jc w:val="right"/>
        <w:rPr>
          <w:sz w:val="22"/>
          <w:szCs w:val="22"/>
        </w:rPr>
      </w:pPr>
      <w:r w:rsidRPr="005739CA">
        <w:rPr>
          <w:sz w:val="22"/>
          <w:szCs w:val="22"/>
        </w:rPr>
        <w:t>к Договору поставки лекарственных препаратов</w:t>
      </w:r>
    </w:p>
    <w:p w14:paraId="41528B6A" w14:textId="21A0C447" w:rsidR="00AC6FD1" w:rsidRPr="005739CA" w:rsidRDefault="00C13735" w:rsidP="006665D8">
      <w:pPr>
        <w:spacing w:after="120"/>
        <w:jc w:val="right"/>
        <w:rPr>
          <w:sz w:val="22"/>
          <w:szCs w:val="22"/>
        </w:rPr>
      </w:pPr>
      <w:proofErr w:type="spellStart"/>
      <w:r>
        <w:rPr>
          <w:sz w:val="22"/>
          <w:szCs w:val="22"/>
          <w:lang w:eastAsia="en-US" w:bidi="en-US"/>
        </w:rPr>
        <w:t>No</w:t>
      </w:r>
      <w:proofErr w:type="spellEnd"/>
      <w:r>
        <w:rPr>
          <w:sz w:val="22"/>
          <w:szCs w:val="22"/>
          <w:lang w:eastAsia="en-US" w:bidi="en-US"/>
        </w:rPr>
        <w:t xml:space="preserve">. </w:t>
      </w:r>
      <w:r w:rsidRPr="005739CA">
        <w:rPr>
          <w:sz w:val="22"/>
          <w:szCs w:val="22"/>
          <w:lang w:eastAsia="en-US" w:bidi="en-US"/>
        </w:rPr>
        <w:t>1</w:t>
      </w:r>
      <w:r w:rsidR="00232CDD" w:rsidRPr="005739CA">
        <w:rPr>
          <w:sz w:val="22"/>
          <w:szCs w:val="22"/>
          <w:lang w:eastAsia="en-US" w:bidi="en-US"/>
        </w:rPr>
        <w:t>2-</w:t>
      </w:r>
      <w:r w:rsidR="00232CDD" w:rsidRPr="005739CA">
        <w:rPr>
          <w:sz w:val="22"/>
          <w:szCs w:val="22"/>
          <w:lang w:val="en-US" w:eastAsia="en-US" w:bidi="en-US"/>
        </w:rPr>
        <w:t>PF</w:t>
      </w:r>
      <w:r w:rsidR="00232CDD" w:rsidRPr="005739CA">
        <w:rPr>
          <w:sz w:val="22"/>
          <w:szCs w:val="22"/>
          <w:lang w:eastAsia="en-US" w:bidi="en-US"/>
        </w:rPr>
        <w:t>-</w:t>
      </w:r>
      <w:r w:rsidR="00232CDD" w:rsidRPr="005739CA">
        <w:rPr>
          <w:sz w:val="22"/>
          <w:szCs w:val="22"/>
          <w:lang w:val="en-US" w:eastAsia="en-US" w:bidi="en-US"/>
        </w:rPr>
        <w:t>INV</w:t>
      </w:r>
      <w:r w:rsidR="00232CDD" w:rsidRPr="005739CA">
        <w:rPr>
          <w:sz w:val="22"/>
          <w:szCs w:val="22"/>
          <w:lang w:eastAsia="en-US" w:bidi="en-US"/>
        </w:rPr>
        <w:t xml:space="preserve">/2016 </w:t>
      </w:r>
      <w:r w:rsidR="00232CDD" w:rsidRPr="005739CA">
        <w:rPr>
          <w:sz w:val="22"/>
          <w:szCs w:val="22"/>
        </w:rPr>
        <w:t xml:space="preserve">от </w:t>
      </w:r>
      <w:r>
        <w:rPr>
          <w:sz w:val="22"/>
          <w:szCs w:val="22"/>
        </w:rPr>
        <w:t>“</w:t>
      </w:r>
      <w:r w:rsidR="00232CDD" w:rsidRPr="005739CA">
        <w:rPr>
          <w:sz w:val="22"/>
          <w:szCs w:val="22"/>
        </w:rPr>
        <w:t>01</w:t>
      </w:r>
      <w:r>
        <w:rPr>
          <w:sz w:val="22"/>
          <w:szCs w:val="22"/>
        </w:rPr>
        <w:t>”</w:t>
      </w:r>
      <w:r w:rsidR="00232CDD" w:rsidRPr="005739CA">
        <w:rPr>
          <w:sz w:val="22"/>
          <w:szCs w:val="22"/>
        </w:rPr>
        <w:t xml:space="preserve"> декабря 2015 года</w:t>
      </w:r>
    </w:p>
    <w:p w14:paraId="16BB29F7" w14:textId="3F07C8FE" w:rsidR="00AC6FD1" w:rsidRPr="005739CA" w:rsidRDefault="00232CDD" w:rsidP="006665D8">
      <w:pPr>
        <w:spacing w:after="120"/>
        <w:jc w:val="center"/>
        <w:outlineLvl w:val="0"/>
        <w:rPr>
          <w:sz w:val="22"/>
          <w:szCs w:val="22"/>
        </w:rPr>
      </w:pPr>
      <w:bookmarkStart w:id="16" w:name="bookmark16"/>
      <w:r w:rsidRPr="005739CA">
        <w:rPr>
          <w:b/>
          <w:bCs/>
          <w:sz w:val="22"/>
          <w:szCs w:val="22"/>
        </w:rPr>
        <w:t xml:space="preserve">МЕЖДУНАРОДНЫЕ ПРИНЦИПЫ БОРЬБЫ СО ВЗЯТОЧНИЧЕСТВОМ И КОРРУПЦИЕЙ КОМПАНИИ </w:t>
      </w:r>
      <w:r w:rsidR="00C13735">
        <w:rPr>
          <w:b/>
          <w:bCs/>
          <w:sz w:val="22"/>
          <w:szCs w:val="22"/>
        </w:rPr>
        <w:t>“</w:t>
      </w:r>
      <w:r w:rsidRPr="005739CA">
        <w:rPr>
          <w:b/>
          <w:bCs/>
          <w:sz w:val="22"/>
          <w:szCs w:val="22"/>
        </w:rPr>
        <w:t>ПФАЙЗЕР</w:t>
      </w:r>
      <w:r w:rsidR="00C13735">
        <w:rPr>
          <w:b/>
          <w:bCs/>
          <w:sz w:val="22"/>
          <w:szCs w:val="22"/>
        </w:rPr>
        <w:t>”</w:t>
      </w:r>
      <w:bookmarkEnd w:id="16"/>
    </w:p>
    <w:p w14:paraId="2545B502" w14:textId="6B31BA4E" w:rsidR="00AC6FD1" w:rsidRPr="005739CA" w:rsidRDefault="00232CDD" w:rsidP="00AA17FE">
      <w:pPr>
        <w:jc w:val="both"/>
        <w:rPr>
          <w:sz w:val="22"/>
          <w:szCs w:val="22"/>
        </w:rPr>
      </w:pPr>
      <w:r w:rsidRPr="005739CA">
        <w:rPr>
          <w:sz w:val="22"/>
          <w:szCs w:val="22"/>
        </w:rPr>
        <w:t>Компания Пфайзер имеет корпоративную политику, которая запрещает дачу взяток и совершение коррупционных действий в ходе ведения бизнеса в Соединенных Штатах Америки и за рубежом. Компания Пфайзер должна вести все дела компании законными способами и в соответствии с правилами этики, в соответствии с применимыми законами и подзаконными актами. Вследствие этого компания Пфайзер требует, чтобы все ее консультанты, агенты, представители и другие юридические и физические лица, действующие от имении компании (</w:t>
      </w:r>
      <w:r w:rsidR="00C13735">
        <w:rPr>
          <w:sz w:val="22"/>
          <w:szCs w:val="22"/>
        </w:rPr>
        <w:t>“</w:t>
      </w:r>
      <w:r w:rsidRPr="005739CA">
        <w:rPr>
          <w:sz w:val="22"/>
          <w:szCs w:val="22"/>
        </w:rPr>
        <w:t>Деловые партнеры</w:t>
      </w:r>
      <w:r w:rsidR="00C13735">
        <w:rPr>
          <w:sz w:val="22"/>
          <w:szCs w:val="22"/>
        </w:rPr>
        <w:t>”</w:t>
      </w:r>
      <w:r w:rsidRPr="005739CA">
        <w:rPr>
          <w:sz w:val="22"/>
          <w:szCs w:val="22"/>
        </w:rPr>
        <w:t xml:space="preserve">), а также лица, действующие от имени </w:t>
      </w:r>
      <w:r w:rsidR="00C13735">
        <w:rPr>
          <w:sz w:val="22"/>
          <w:szCs w:val="22"/>
        </w:rPr>
        <w:t>“</w:t>
      </w:r>
      <w:r w:rsidRPr="005739CA">
        <w:rPr>
          <w:sz w:val="22"/>
          <w:szCs w:val="22"/>
        </w:rPr>
        <w:t>Деловых партнеров</w:t>
      </w:r>
      <w:r w:rsidR="00C13735">
        <w:rPr>
          <w:sz w:val="22"/>
          <w:szCs w:val="22"/>
        </w:rPr>
        <w:t>”</w:t>
      </w:r>
      <w:r w:rsidRPr="005739CA">
        <w:rPr>
          <w:sz w:val="22"/>
          <w:szCs w:val="22"/>
        </w:rPr>
        <w:t xml:space="preserve"> (например, субподрядчики), осуществляли деятельность, связанную с компанией Пфайзер, в соответствии с этими принципами.</w:t>
      </w:r>
    </w:p>
    <w:p w14:paraId="7E3DE41E" w14:textId="440694E9" w:rsidR="00AC6FD1" w:rsidRPr="006665D8" w:rsidRDefault="00232CDD" w:rsidP="006665D8">
      <w:pPr>
        <w:spacing w:before="120" w:after="120"/>
        <w:jc w:val="both"/>
        <w:rPr>
          <w:b/>
          <w:bCs/>
          <w:sz w:val="22"/>
          <w:szCs w:val="22"/>
        </w:rPr>
      </w:pPr>
      <w:r w:rsidRPr="006665D8">
        <w:rPr>
          <w:b/>
          <w:bCs/>
          <w:i/>
          <w:iCs/>
          <w:sz w:val="22"/>
          <w:szCs w:val="22"/>
        </w:rPr>
        <w:t xml:space="preserve">Подкуп </w:t>
      </w:r>
      <w:r w:rsidR="00C13735">
        <w:rPr>
          <w:b/>
          <w:bCs/>
          <w:i/>
          <w:iCs/>
          <w:sz w:val="22"/>
          <w:szCs w:val="22"/>
        </w:rPr>
        <w:t>“</w:t>
      </w:r>
      <w:r w:rsidRPr="006665D8">
        <w:rPr>
          <w:b/>
          <w:bCs/>
          <w:i/>
          <w:iCs/>
          <w:sz w:val="22"/>
          <w:szCs w:val="22"/>
        </w:rPr>
        <w:t>государственного служащего</w:t>
      </w:r>
      <w:r w:rsidR="00C13735">
        <w:rPr>
          <w:b/>
          <w:bCs/>
          <w:i/>
          <w:iCs/>
          <w:sz w:val="22"/>
          <w:szCs w:val="22"/>
        </w:rPr>
        <w:t>”</w:t>
      </w:r>
    </w:p>
    <w:p w14:paraId="27653D4C" w14:textId="77777777" w:rsidR="00AC6FD1" w:rsidRPr="005739CA" w:rsidRDefault="00232CDD" w:rsidP="00AA17FE">
      <w:pPr>
        <w:jc w:val="both"/>
        <w:rPr>
          <w:sz w:val="22"/>
          <w:szCs w:val="22"/>
        </w:rPr>
      </w:pPr>
      <w:r w:rsidRPr="005739CA">
        <w:rPr>
          <w:sz w:val="22"/>
          <w:szCs w:val="22"/>
        </w:rPr>
        <w:t>Большинство стран имеет законы, запрещающие дачу взятки, обещание дать взятку, уполномочивание на дачу взятки или предоставление каких либо ценностей государственному служащему (как самостоятельно, так и через посредников) с целью побуждения данного государственного служащего к принятию правительственного акта или решения, способствующего компании в приобретении или сохранении бизнеса.</w:t>
      </w:r>
    </w:p>
    <w:p w14:paraId="71ED63C0" w14:textId="43F143DB" w:rsidR="00AC6FD1" w:rsidRPr="005739CA" w:rsidRDefault="00232CDD" w:rsidP="006665D8">
      <w:pPr>
        <w:spacing w:before="120" w:after="120"/>
        <w:jc w:val="both"/>
        <w:rPr>
          <w:sz w:val="22"/>
          <w:szCs w:val="22"/>
        </w:rPr>
      </w:pPr>
      <w:r w:rsidRPr="005739CA">
        <w:rPr>
          <w:sz w:val="22"/>
          <w:szCs w:val="22"/>
        </w:rPr>
        <w:t xml:space="preserve">Понятие </w:t>
      </w:r>
      <w:r w:rsidR="00C13735">
        <w:rPr>
          <w:sz w:val="22"/>
          <w:szCs w:val="22"/>
        </w:rPr>
        <w:t>“</w:t>
      </w:r>
      <w:r w:rsidRPr="005739CA">
        <w:rPr>
          <w:sz w:val="22"/>
          <w:szCs w:val="22"/>
        </w:rPr>
        <w:t>Государственного служащего</w:t>
      </w:r>
      <w:r w:rsidR="00C13735">
        <w:rPr>
          <w:sz w:val="22"/>
          <w:szCs w:val="22"/>
        </w:rPr>
        <w:t>”</w:t>
      </w:r>
      <w:r w:rsidRPr="005739CA">
        <w:rPr>
          <w:sz w:val="22"/>
          <w:szCs w:val="22"/>
        </w:rPr>
        <w:t xml:space="preserve"> должно толковаться широко и включает в себя:</w:t>
      </w:r>
    </w:p>
    <w:p w14:paraId="3B18A01B" w14:textId="6FEE70C6" w:rsidR="00AC6FD1" w:rsidRPr="006665D8" w:rsidRDefault="00232CDD" w:rsidP="006665D8">
      <w:pPr>
        <w:pStyle w:val="ListParagraph"/>
        <w:numPr>
          <w:ilvl w:val="0"/>
          <w:numId w:val="7"/>
        </w:numPr>
        <w:spacing w:after="120"/>
        <w:contextualSpacing w:val="0"/>
        <w:jc w:val="both"/>
        <w:rPr>
          <w:sz w:val="22"/>
          <w:szCs w:val="22"/>
        </w:rPr>
      </w:pPr>
      <w:r w:rsidRPr="006665D8">
        <w:rPr>
          <w:sz w:val="22"/>
          <w:szCs w:val="22"/>
        </w:rPr>
        <w:t>любого избранного или назначенного государственного служащего (например, сотрудника органов законодательной и исполнительной власти);</w:t>
      </w:r>
    </w:p>
    <w:p w14:paraId="3AC30041" w14:textId="5D4CBD56" w:rsidR="00AC6FD1" w:rsidRPr="006665D8" w:rsidRDefault="00232CDD" w:rsidP="006665D8">
      <w:pPr>
        <w:pStyle w:val="ListParagraph"/>
        <w:numPr>
          <w:ilvl w:val="0"/>
          <w:numId w:val="7"/>
        </w:numPr>
        <w:tabs>
          <w:tab w:val="left" w:pos="814"/>
        </w:tabs>
        <w:spacing w:after="120"/>
        <w:contextualSpacing w:val="0"/>
        <w:jc w:val="both"/>
        <w:rPr>
          <w:sz w:val="22"/>
          <w:szCs w:val="22"/>
        </w:rPr>
      </w:pPr>
      <w:r w:rsidRPr="006665D8">
        <w:rPr>
          <w:sz w:val="22"/>
          <w:szCs w:val="22"/>
        </w:rPr>
        <w:t>любого сотрудника или иное лицо, действующее в интересах или от имени государственного</w:t>
      </w:r>
    </w:p>
    <w:p w14:paraId="65ED8C49" w14:textId="77777777" w:rsidR="00AC6FD1" w:rsidRPr="006665D8" w:rsidRDefault="00232CDD" w:rsidP="006665D8">
      <w:pPr>
        <w:pStyle w:val="ListParagraph"/>
        <w:numPr>
          <w:ilvl w:val="0"/>
          <w:numId w:val="7"/>
        </w:numPr>
        <w:spacing w:after="120"/>
        <w:contextualSpacing w:val="0"/>
        <w:jc w:val="both"/>
        <w:rPr>
          <w:sz w:val="22"/>
          <w:szCs w:val="22"/>
        </w:rPr>
      </w:pPr>
      <w:r w:rsidRPr="006665D8">
        <w:rPr>
          <w:sz w:val="22"/>
          <w:szCs w:val="22"/>
        </w:rPr>
        <w:t>служащего, службы, или предприятия, выполняющих государственные функции, или находящегося в собственности или контролируемого органами государственной власти (например, работники здравоохранения, работающие в государственных лечебных учреждениях или исследователи, работающие в государственных университетах);</w:t>
      </w:r>
    </w:p>
    <w:p w14:paraId="652BC214" w14:textId="122AACB3" w:rsidR="00AC6FD1" w:rsidRPr="006665D8" w:rsidRDefault="00232CDD" w:rsidP="006665D8">
      <w:pPr>
        <w:pStyle w:val="ListParagraph"/>
        <w:numPr>
          <w:ilvl w:val="0"/>
          <w:numId w:val="7"/>
        </w:numPr>
        <w:spacing w:after="120"/>
        <w:contextualSpacing w:val="0"/>
        <w:jc w:val="both"/>
        <w:rPr>
          <w:sz w:val="22"/>
          <w:szCs w:val="22"/>
        </w:rPr>
      </w:pPr>
      <w:r w:rsidRPr="006665D8">
        <w:rPr>
          <w:sz w:val="22"/>
          <w:szCs w:val="22"/>
        </w:rPr>
        <w:t>любого сотрудника политической партии, служащего, или иное лицо, действующее в интересах или от имени политической партии или кандидата, претендующего на пост в государственном учреждении;</w:t>
      </w:r>
    </w:p>
    <w:p w14:paraId="5AC1793E" w14:textId="521C48FA" w:rsidR="00AC6FD1" w:rsidRPr="006665D8" w:rsidRDefault="00232CDD" w:rsidP="006665D8">
      <w:pPr>
        <w:pStyle w:val="ListParagraph"/>
        <w:numPr>
          <w:ilvl w:val="0"/>
          <w:numId w:val="7"/>
        </w:numPr>
        <w:spacing w:after="120"/>
        <w:contextualSpacing w:val="0"/>
        <w:jc w:val="both"/>
        <w:rPr>
          <w:sz w:val="22"/>
          <w:szCs w:val="22"/>
        </w:rPr>
      </w:pPr>
      <w:r w:rsidRPr="006665D8">
        <w:rPr>
          <w:sz w:val="22"/>
          <w:szCs w:val="22"/>
        </w:rPr>
        <w:t>служащего или иное лицо, действующее в интересах или от имени или по поручению межправительственной и (или) межгосударственной международной организации; и</w:t>
      </w:r>
    </w:p>
    <w:p w14:paraId="4B5522A7" w14:textId="4272B0D3" w:rsidR="00AC6FD1" w:rsidRPr="006665D8" w:rsidRDefault="00232CDD" w:rsidP="006665D8">
      <w:pPr>
        <w:pStyle w:val="ListParagraph"/>
        <w:numPr>
          <w:ilvl w:val="0"/>
          <w:numId w:val="7"/>
        </w:numPr>
        <w:tabs>
          <w:tab w:val="left" w:pos="814"/>
        </w:tabs>
        <w:spacing w:after="120"/>
        <w:contextualSpacing w:val="0"/>
        <w:jc w:val="both"/>
        <w:rPr>
          <w:sz w:val="22"/>
          <w:szCs w:val="22"/>
        </w:rPr>
      </w:pPr>
      <w:r w:rsidRPr="006665D8">
        <w:rPr>
          <w:sz w:val="22"/>
          <w:szCs w:val="22"/>
        </w:rPr>
        <w:t>любое лицо, являющееся членом королевской семьи или военнослужащим; и</w:t>
      </w:r>
    </w:p>
    <w:p w14:paraId="76DD6A55" w14:textId="029629FF" w:rsidR="00AC6FD1" w:rsidRPr="006665D8" w:rsidRDefault="00232CDD" w:rsidP="006665D8">
      <w:pPr>
        <w:pStyle w:val="ListParagraph"/>
        <w:numPr>
          <w:ilvl w:val="0"/>
          <w:numId w:val="7"/>
        </w:numPr>
        <w:tabs>
          <w:tab w:val="left" w:pos="814"/>
        </w:tabs>
        <w:spacing w:after="120"/>
        <w:contextualSpacing w:val="0"/>
        <w:jc w:val="both"/>
        <w:rPr>
          <w:sz w:val="22"/>
          <w:szCs w:val="22"/>
        </w:rPr>
      </w:pPr>
      <w:r w:rsidRPr="006665D8">
        <w:rPr>
          <w:sz w:val="22"/>
          <w:szCs w:val="22"/>
        </w:rPr>
        <w:t>другое лицо, являющееся государственным служащим в соответствии с российским законодательством,</w:t>
      </w:r>
      <w:r w:rsidR="006665D8">
        <w:rPr>
          <w:sz w:val="22"/>
          <w:szCs w:val="22"/>
        </w:rPr>
        <w:t xml:space="preserve"> </w:t>
      </w:r>
      <w:r w:rsidRPr="006665D8">
        <w:rPr>
          <w:sz w:val="22"/>
          <w:szCs w:val="22"/>
        </w:rPr>
        <w:t>и являющееся сотрудником учреждения, финансируемого за счет государственного бюджета.</w:t>
      </w:r>
    </w:p>
    <w:p w14:paraId="260AC062" w14:textId="35C6170E" w:rsidR="00AC6FD1" w:rsidRPr="005739CA" w:rsidRDefault="00232CDD" w:rsidP="003913DD">
      <w:pPr>
        <w:tabs>
          <w:tab w:val="left" w:pos="6601"/>
        </w:tabs>
        <w:spacing w:after="120"/>
        <w:jc w:val="both"/>
        <w:rPr>
          <w:sz w:val="22"/>
          <w:szCs w:val="22"/>
        </w:rPr>
      </w:pPr>
      <w:r w:rsidRPr="005739CA">
        <w:rPr>
          <w:sz w:val="22"/>
          <w:szCs w:val="22"/>
        </w:rPr>
        <w:t xml:space="preserve">При этом </w:t>
      </w:r>
      <w:r w:rsidR="00C13735">
        <w:rPr>
          <w:sz w:val="22"/>
          <w:szCs w:val="22"/>
        </w:rPr>
        <w:t>“</w:t>
      </w:r>
      <w:r w:rsidRPr="005739CA">
        <w:rPr>
          <w:sz w:val="22"/>
          <w:szCs w:val="22"/>
        </w:rPr>
        <w:t>Государственный</w:t>
      </w:r>
      <w:r w:rsidR="00C13735">
        <w:rPr>
          <w:sz w:val="22"/>
          <w:szCs w:val="22"/>
        </w:rPr>
        <w:t>”</w:t>
      </w:r>
      <w:r w:rsidRPr="005739CA">
        <w:rPr>
          <w:sz w:val="22"/>
          <w:szCs w:val="22"/>
        </w:rPr>
        <w:t xml:space="preserve"> включает все уровни (федеральный, региональный, муниципальный), а также функциональное разграничение полномочий</w:t>
      </w:r>
      <w:r w:rsidR="006665D8">
        <w:rPr>
          <w:sz w:val="22"/>
          <w:szCs w:val="22"/>
        </w:rPr>
        <w:t xml:space="preserve"> </w:t>
      </w:r>
      <w:r w:rsidRPr="005739CA">
        <w:rPr>
          <w:sz w:val="22"/>
          <w:szCs w:val="22"/>
        </w:rPr>
        <w:t>(законодательную, судебную или</w:t>
      </w:r>
      <w:r w:rsidR="006665D8">
        <w:rPr>
          <w:sz w:val="22"/>
          <w:szCs w:val="22"/>
        </w:rPr>
        <w:t xml:space="preserve"> </w:t>
      </w:r>
      <w:r w:rsidRPr="005739CA">
        <w:rPr>
          <w:sz w:val="22"/>
          <w:szCs w:val="22"/>
        </w:rPr>
        <w:t>исполнительную/административную ветви).</w:t>
      </w:r>
    </w:p>
    <w:p w14:paraId="05832481" w14:textId="56A5611E" w:rsidR="00AC6FD1" w:rsidRPr="005739CA" w:rsidRDefault="00232CDD" w:rsidP="003913DD">
      <w:pPr>
        <w:spacing w:after="120"/>
        <w:jc w:val="both"/>
        <w:rPr>
          <w:sz w:val="22"/>
          <w:szCs w:val="22"/>
        </w:rPr>
      </w:pPr>
      <w:r w:rsidRPr="005739CA">
        <w:rPr>
          <w:sz w:val="22"/>
          <w:szCs w:val="22"/>
        </w:rPr>
        <w:t xml:space="preserve">Ввиду того, что данное определение </w:t>
      </w:r>
      <w:r w:rsidR="00C13735">
        <w:rPr>
          <w:sz w:val="22"/>
          <w:szCs w:val="22"/>
        </w:rPr>
        <w:t>“</w:t>
      </w:r>
      <w:r w:rsidRPr="005739CA">
        <w:rPr>
          <w:sz w:val="22"/>
          <w:szCs w:val="22"/>
        </w:rPr>
        <w:t>государственного служащего</w:t>
      </w:r>
      <w:r w:rsidR="00C13735">
        <w:rPr>
          <w:sz w:val="22"/>
          <w:szCs w:val="22"/>
        </w:rPr>
        <w:t>”</w:t>
      </w:r>
      <w:r w:rsidRPr="005739CA">
        <w:rPr>
          <w:sz w:val="22"/>
          <w:szCs w:val="22"/>
        </w:rPr>
        <w:t xml:space="preserve"> является весьма широким, то возможность взаимодействия Деловых партнеров с государственными служащими в ходе ведения дел от имени компании Пфайзер представляется весьма вероятной. Так, например, врачей, работающих в государственных больницах, будут рассматривать в качестве </w:t>
      </w:r>
      <w:r w:rsidR="00C13735">
        <w:rPr>
          <w:sz w:val="22"/>
          <w:szCs w:val="22"/>
        </w:rPr>
        <w:t>“</w:t>
      </w:r>
      <w:r w:rsidRPr="005739CA">
        <w:rPr>
          <w:sz w:val="22"/>
          <w:szCs w:val="22"/>
        </w:rPr>
        <w:t>государственных служащих</w:t>
      </w:r>
      <w:r w:rsidR="00C13735">
        <w:rPr>
          <w:sz w:val="22"/>
          <w:szCs w:val="22"/>
        </w:rPr>
        <w:t>”</w:t>
      </w:r>
      <w:r w:rsidRPr="005739CA">
        <w:rPr>
          <w:sz w:val="22"/>
          <w:szCs w:val="22"/>
        </w:rPr>
        <w:t>.</w:t>
      </w:r>
    </w:p>
    <w:p w14:paraId="39D6B780" w14:textId="60B3E9B6" w:rsidR="00AC6FD1" w:rsidRPr="005739CA" w:rsidRDefault="00232CDD" w:rsidP="00DF2218">
      <w:pPr>
        <w:jc w:val="both"/>
        <w:rPr>
          <w:sz w:val="22"/>
          <w:szCs w:val="22"/>
        </w:rPr>
      </w:pPr>
      <w:r w:rsidRPr="005739CA">
        <w:rPr>
          <w:sz w:val="22"/>
          <w:szCs w:val="22"/>
        </w:rPr>
        <w:t>Закон США о борьбе с коррупцией (вне пределов США) запрещает дачу взятки, обещание дать взятку, уполномочивание на дачу взятки или предоставление каких либо ценностей государственному служащему с целью побуждения данного государственного служащего к принятию правительственного акта или решения, способствующего компании в приобретении или сохранении бизнеса. Закон США о борьбе с коррупцией (вне пределов США) также запрещает компании или любому физическому лицу использовать другую компанию или иное физическое лицо для совершения любого из вышеперечисленных действий. В связи с тем, что Пфайзер</w:t>
      </w:r>
      <w:r w:rsidR="003913DD">
        <w:rPr>
          <w:sz w:val="22"/>
          <w:szCs w:val="22"/>
        </w:rPr>
        <w:br w:type="page"/>
      </w:r>
      <w:r w:rsidRPr="005739CA">
        <w:rPr>
          <w:sz w:val="22"/>
          <w:szCs w:val="22"/>
        </w:rPr>
        <w:lastRenderedPageBreak/>
        <w:t xml:space="preserve">является американской компанией, она должна соблюдать положения Закона США о борьбе с коррупцией (вне пределов США) и может быть </w:t>
      </w:r>
      <w:r w:rsidR="00C16F23" w:rsidRPr="005739CA">
        <w:rPr>
          <w:sz w:val="22"/>
          <w:szCs w:val="22"/>
        </w:rPr>
        <w:t>признана</w:t>
      </w:r>
      <w:r w:rsidRPr="005739CA">
        <w:rPr>
          <w:sz w:val="22"/>
          <w:szCs w:val="22"/>
        </w:rPr>
        <w:t xml:space="preserve"> ответственной за любые действия совершенные ее "Деловыми партнерами" где бы то ни было.</w:t>
      </w:r>
    </w:p>
    <w:p w14:paraId="7D4A7ED7" w14:textId="77777777" w:rsidR="00AC6FD1" w:rsidRPr="0013486F" w:rsidRDefault="00232CDD" w:rsidP="0013486F">
      <w:pPr>
        <w:spacing w:before="120" w:after="120"/>
        <w:jc w:val="both"/>
        <w:rPr>
          <w:b/>
          <w:bCs/>
          <w:sz w:val="22"/>
          <w:szCs w:val="22"/>
        </w:rPr>
      </w:pPr>
      <w:r w:rsidRPr="0013486F">
        <w:rPr>
          <w:b/>
          <w:bCs/>
          <w:i/>
          <w:iCs/>
          <w:sz w:val="22"/>
          <w:szCs w:val="22"/>
        </w:rPr>
        <w:t>Принципы борьбы со взяточничеством и коррупцией, определяющие правила взаимодействия с государственными органами и государственными служащими</w:t>
      </w:r>
    </w:p>
    <w:p w14:paraId="2DF0FA0A" w14:textId="77777777" w:rsidR="00AC6FD1" w:rsidRPr="005739CA" w:rsidRDefault="00232CDD" w:rsidP="0013486F">
      <w:pPr>
        <w:spacing w:after="120"/>
        <w:jc w:val="both"/>
        <w:rPr>
          <w:sz w:val="22"/>
          <w:szCs w:val="22"/>
        </w:rPr>
      </w:pPr>
      <w:r w:rsidRPr="005739CA">
        <w:rPr>
          <w:sz w:val="22"/>
          <w:szCs w:val="22"/>
        </w:rPr>
        <w:t>Деловые партнеры обязаны следовать и придерживаться следующих принципов при взаимодействии с государственными органами и государственными служащими:</w:t>
      </w:r>
    </w:p>
    <w:p w14:paraId="10B515E5" w14:textId="1237ECAC" w:rsidR="00AC6FD1" w:rsidRPr="005739CA" w:rsidRDefault="00232CDD" w:rsidP="0013486F">
      <w:pPr>
        <w:pStyle w:val="ListParagraph"/>
        <w:numPr>
          <w:ilvl w:val="0"/>
          <w:numId w:val="6"/>
        </w:numPr>
        <w:spacing w:after="120"/>
        <w:contextualSpacing w:val="0"/>
        <w:jc w:val="both"/>
        <w:rPr>
          <w:sz w:val="22"/>
          <w:szCs w:val="22"/>
        </w:rPr>
      </w:pPr>
      <w:r w:rsidRPr="005739CA">
        <w:rPr>
          <w:sz w:val="22"/>
          <w:szCs w:val="22"/>
        </w:rPr>
        <w:t>Деловые партнеры и лица, действующие от их имени в связи с исполнением обязательств в отношении компании Пфайзер, не имеют права прямо или косвенно давать взятку, обещать дать взятку или уполномочивать на дачу взятки или предоставление каких либо ценностей государственному служащему с целью побуждения данного государственного служащего к принятию правительственного акта или решения, способствующего компании Пфайзер в приобретении или сохранении бизнеса. Деловые партнеры и лица, действующие от их имени в связи с исполнением обязательств в отношении компании Пфайзер, ни при каких обстоятельствах не имеют права производить платежи или предлагать государственным служащим любые вещи или блага, независимо от их стоимости, для оказания ненадлежащего влияния на данного государственного служащего с целью одобрения, возмещения, назначения или покупки продукта компании Пфайзер, а так же повлиять на результат клинических испытаний, или иным ненадлежащим образом содействовать деловой деятельности компании Пфайзер.</w:t>
      </w:r>
    </w:p>
    <w:p w14:paraId="0E15B7E1" w14:textId="04BCB129" w:rsidR="00AC6FD1" w:rsidRPr="005739CA" w:rsidRDefault="00232CDD" w:rsidP="008B056C">
      <w:pPr>
        <w:pStyle w:val="ListParagraph"/>
        <w:numPr>
          <w:ilvl w:val="0"/>
          <w:numId w:val="6"/>
        </w:numPr>
        <w:spacing w:after="120"/>
        <w:contextualSpacing w:val="0"/>
        <w:jc w:val="both"/>
        <w:rPr>
          <w:sz w:val="22"/>
          <w:szCs w:val="22"/>
        </w:rPr>
      </w:pPr>
      <w:r w:rsidRPr="005739CA">
        <w:rPr>
          <w:sz w:val="22"/>
          <w:szCs w:val="22"/>
        </w:rPr>
        <w:t xml:space="preserve">В ходе работы с компанией </w:t>
      </w:r>
      <w:r w:rsidR="00C13735">
        <w:rPr>
          <w:sz w:val="22"/>
          <w:szCs w:val="22"/>
        </w:rPr>
        <w:t>“</w:t>
      </w:r>
      <w:r w:rsidRPr="005739CA">
        <w:rPr>
          <w:sz w:val="22"/>
          <w:szCs w:val="22"/>
        </w:rPr>
        <w:t>Пфайзер</w:t>
      </w:r>
      <w:r w:rsidR="00C13735">
        <w:rPr>
          <w:sz w:val="22"/>
          <w:szCs w:val="22"/>
        </w:rPr>
        <w:t>”</w:t>
      </w:r>
      <w:r w:rsidRPr="005739CA">
        <w:rPr>
          <w:sz w:val="22"/>
          <w:szCs w:val="22"/>
        </w:rPr>
        <w:t xml:space="preserve"> Деловые партнеры и лица, действующие от их имени в связи с исполнением обязательств в отношении компании Пфайзер, должны понимать и соблюдать любые местные законы, подзаконные акты или применяемые процедуры (включая требования, предъявляемые государственными органами, такими как государственные больницы и исследовательские институты), которые налагают ограничения, или требования о раскрытии информации касательно компенсации, финансовой поддержки, пожертвований, или подарков, которые разрешается делать государственным служащим. Если Деловой партнер не уверен относительно значения или применимости каких-нибудь установленных ограничений или требований раскрытия информации в связи с взаимодействием с государственными служащими, то перед совершением каких-либо действий и начала такого взаимодействия данному Деловому партнеру необходимо проконсультироваться с его или её контактным лицом компании Пфайзер.</w:t>
      </w:r>
    </w:p>
    <w:p w14:paraId="723BE35D" w14:textId="2F028C6B" w:rsidR="00AC6FD1" w:rsidRPr="005739CA" w:rsidRDefault="00232CDD" w:rsidP="008B056C">
      <w:pPr>
        <w:pStyle w:val="ListParagraph"/>
        <w:numPr>
          <w:ilvl w:val="0"/>
          <w:numId w:val="6"/>
        </w:numPr>
        <w:spacing w:after="120"/>
        <w:contextualSpacing w:val="0"/>
        <w:jc w:val="both"/>
        <w:rPr>
          <w:sz w:val="22"/>
          <w:szCs w:val="22"/>
        </w:rPr>
      </w:pPr>
      <w:r w:rsidRPr="005739CA">
        <w:rPr>
          <w:sz w:val="22"/>
          <w:szCs w:val="22"/>
        </w:rPr>
        <w:t xml:space="preserve">Деловым партнерам и лицам, действующим от их имени в связи с исполнением обязательств в отношении компании Пфайзер, запрещено предлагать вознаграждение за упрощение формальностей. Вознаграждение за упрощение формальностей </w:t>
      </w:r>
      <w:r w:rsidR="00C16F23" w:rsidRPr="005739CA">
        <w:rPr>
          <w:sz w:val="22"/>
          <w:szCs w:val="22"/>
        </w:rPr>
        <w:t>— это</w:t>
      </w:r>
      <w:r w:rsidRPr="005739CA">
        <w:rPr>
          <w:sz w:val="22"/>
          <w:szCs w:val="22"/>
        </w:rPr>
        <w:t xml:space="preserve"> символическая, неофициальная выплата государственному служащему, совершаемая с целью гарантирования и ускорения исполнения установленного порядка осуществления государственных функций, Примерами вознаграждения за упрощение формальностей могут служить ускорения процесса получения лицензий, разрешений или виз в том случае, если документы в порядке. В случае если Деловой партнер и лица, действующие от их имени в связи с исполнением обязательств в отношении компании Пфайзер, получает либо узнает о запросе или требовании о предоставлении вознаграждения за упрощение формальностей или взятки при исполнении обязательств в отношении компании Пфайзер, то перед совершением каких-либо действий данному Деловому партнеру необходимо сообщить о подобном запросе или требовании своему контактному лицу в компании Пфайзер.</w:t>
      </w:r>
    </w:p>
    <w:p w14:paraId="7E8E6290" w14:textId="77777777" w:rsidR="00AC6FD1" w:rsidRPr="008B056C" w:rsidRDefault="00232CDD" w:rsidP="008B056C">
      <w:pPr>
        <w:spacing w:after="120"/>
        <w:jc w:val="both"/>
        <w:rPr>
          <w:b/>
          <w:bCs/>
          <w:sz w:val="22"/>
          <w:szCs w:val="22"/>
        </w:rPr>
      </w:pPr>
      <w:r w:rsidRPr="008B056C">
        <w:rPr>
          <w:b/>
          <w:bCs/>
          <w:i/>
          <w:iCs/>
          <w:sz w:val="22"/>
          <w:szCs w:val="22"/>
        </w:rPr>
        <w:t>Коммерческий подкуп</w:t>
      </w:r>
    </w:p>
    <w:p w14:paraId="3334CB0C" w14:textId="06B984C1" w:rsidR="00AC6FD1" w:rsidRPr="005739CA" w:rsidRDefault="00232CDD" w:rsidP="00DF2218">
      <w:pPr>
        <w:jc w:val="both"/>
        <w:rPr>
          <w:sz w:val="22"/>
          <w:szCs w:val="22"/>
        </w:rPr>
      </w:pPr>
      <w:r w:rsidRPr="005739CA">
        <w:rPr>
          <w:sz w:val="22"/>
          <w:szCs w:val="22"/>
        </w:rPr>
        <w:t xml:space="preserve">Взяточничество и подкуп может иметь место в негосударственных, деловых отношениях. Большинство стран имеет законы, запрещающие дачу взятки, обещание дать взятку, уполномочивание на дачу взятки или предоставление </w:t>
      </w:r>
      <w:r w:rsidR="00C16F23" w:rsidRPr="005739CA">
        <w:rPr>
          <w:sz w:val="22"/>
          <w:szCs w:val="22"/>
        </w:rPr>
        <w:t>каких-либо</w:t>
      </w:r>
      <w:r w:rsidRPr="005739CA">
        <w:rPr>
          <w:sz w:val="22"/>
          <w:szCs w:val="22"/>
        </w:rPr>
        <w:t xml:space="preserve"> ценностей, получение взятки или обещание принять деньги или какую-нибудь другую ценность с целью получения преимуществ в бизнесе. Примерами запрещенного поведения могут служить предоставление дорогих подарков или знаков гостеприимства, передача части незаконно полученных денег или рассмотрение инвестиционных возможностей, предложенных с целью оказания влияния на выполнение работ или оказание услуг. Сотрудникам компании Пфайзер запрещено предлагать, давать,</w:t>
      </w:r>
      <w:r w:rsidR="008B056C">
        <w:rPr>
          <w:sz w:val="22"/>
          <w:szCs w:val="22"/>
        </w:rPr>
        <w:br w:type="page"/>
      </w:r>
      <w:r w:rsidRPr="005739CA">
        <w:rPr>
          <w:sz w:val="22"/>
          <w:szCs w:val="22"/>
        </w:rPr>
        <w:lastRenderedPageBreak/>
        <w:t>вымогать или принимать взятки, и мы ожидаем, что наши Деловые партнеры и лица, действующим от их имени в связи с исполнением обязательств в отношении компании Пфайзер, будут придерживать тех же принципов.</w:t>
      </w:r>
    </w:p>
    <w:p w14:paraId="0B5E4A74" w14:textId="77777777" w:rsidR="00AC6FD1" w:rsidRPr="008B056C" w:rsidRDefault="00232CDD" w:rsidP="008B056C">
      <w:pPr>
        <w:spacing w:before="240"/>
        <w:jc w:val="both"/>
        <w:rPr>
          <w:b/>
          <w:bCs/>
          <w:sz w:val="22"/>
          <w:szCs w:val="22"/>
        </w:rPr>
      </w:pPr>
      <w:r w:rsidRPr="008B056C">
        <w:rPr>
          <w:b/>
          <w:bCs/>
          <w:i/>
          <w:iCs/>
          <w:sz w:val="22"/>
          <w:szCs w:val="22"/>
        </w:rPr>
        <w:t>Принципы борьбы со взяточничеством и коррупцией, определяющие правила взаимодействия с частными лицами и коллегами компании Пфайзер</w:t>
      </w:r>
    </w:p>
    <w:p w14:paraId="3B5AF55E" w14:textId="77777777" w:rsidR="00AC6FD1" w:rsidRPr="005739CA" w:rsidRDefault="00232CDD" w:rsidP="00AA17FE">
      <w:pPr>
        <w:jc w:val="both"/>
        <w:rPr>
          <w:sz w:val="22"/>
          <w:szCs w:val="22"/>
        </w:rPr>
      </w:pPr>
      <w:r w:rsidRPr="005739CA">
        <w:rPr>
          <w:sz w:val="22"/>
          <w:szCs w:val="22"/>
        </w:rPr>
        <w:t>Деловые партнеры обязаны следовать и придерживаться следующих принципов при взаимодействии с частными лицами и коллегами компании Пфайзер:</w:t>
      </w:r>
    </w:p>
    <w:p w14:paraId="2B83FDF4" w14:textId="2BA3EDB6" w:rsidR="00AC6FD1" w:rsidRPr="005739CA" w:rsidRDefault="00232CDD" w:rsidP="008B056C">
      <w:pPr>
        <w:pStyle w:val="ListParagraph"/>
        <w:numPr>
          <w:ilvl w:val="0"/>
          <w:numId w:val="6"/>
        </w:numPr>
        <w:spacing w:after="120"/>
        <w:contextualSpacing w:val="0"/>
        <w:jc w:val="both"/>
        <w:rPr>
          <w:sz w:val="22"/>
          <w:szCs w:val="22"/>
        </w:rPr>
      </w:pPr>
      <w:r w:rsidRPr="005739CA">
        <w:rPr>
          <w:sz w:val="22"/>
          <w:szCs w:val="22"/>
        </w:rPr>
        <w:t>Деловые партнеры и лица, действующие от их имени в связи с исполнением обязательств в отношении компании Пфайзер, не могут предлагать, обещать или осуществлять, как самостоятельно, так и через посредников, денежные выплаты любого рода или передачу ценных вещей любым лицам с целью побуждения данного лица к совершению им каких-либо действий, которые могут привести к получению незаконного преимущества для бизнеса компании Пфайзер.</w:t>
      </w:r>
    </w:p>
    <w:p w14:paraId="01B23536" w14:textId="1307CD42" w:rsidR="00AC6FD1" w:rsidRPr="005739CA" w:rsidRDefault="00232CDD" w:rsidP="008B056C">
      <w:pPr>
        <w:pStyle w:val="ListParagraph"/>
        <w:numPr>
          <w:ilvl w:val="0"/>
          <w:numId w:val="6"/>
        </w:numPr>
        <w:spacing w:after="120"/>
        <w:contextualSpacing w:val="0"/>
        <w:jc w:val="both"/>
        <w:rPr>
          <w:sz w:val="22"/>
          <w:szCs w:val="22"/>
        </w:rPr>
      </w:pPr>
      <w:r w:rsidRPr="005739CA">
        <w:rPr>
          <w:sz w:val="22"/>
          <w:szCs w:val="22"/>
        </w:rPr>
        <w:t>Деловые партнеры и лица, действующие от их имени в связи с исполнением обязательств в отношении компании Пфайзер, не могут вымогать, соглашаться принять или принимать, как самостоятельно, так и через посредников, денежные выплаты любого рода и ценные вещи в качестве ненадлежащего влияния, стимулирования в связи исполнением обязательств по отношению к компании Пфайзер.</w:t>
      </w:r>
    </w:p>
    <w:p w14:paraId="2CB01B9B" w14:textId="72D72814" w:rsidR="00AC6FD1" w:rsidRPr="005739CA" w:rsidRDefault="00232CDD" w:rsidP="008B056C">
      <w:pPr>
        <w:pStyle w:val="ListParagraph"/>
        <w:numPr>
          <w:ilvl w:val="0"/>
          <w:numId w:val="6"/>
        </w:numPr>
        <w:spacing w:after="120"/>
        <w:contextualSpacing w:val="0"/>
        <w:jc w:val="both"/>
        <w:rPr>
          <w:sz w:val="22"/>
          <w:szCs w:val="22"/>
        </w:rPr>
      </w:pPr>
      <w:r w:rsidRPr="005739CA">
        <w:rPr>
          <w:sz w:val="22"/>
          <w:szCs w:val="22"/>
        </w:rPr>
        <w:t>Сотрудникам компании Пфайзер запрещено принимать от Деловых партнеров и лиц, действующих от их имени в связи с исполнением обязательств в отношении компании Пфайзер, подарки, услуги, льготы, развлечения или другие вещи и предметы, стоимость которых превышает символическую стоимость в денежном выражении. Более того, подарки символической стоимости разрешены, если они принимаются не на регулярной основе и только по подходящим для дарения подарков поводам.</w:t>
      </w:r>
    </w:p>
    <w:p w14:paraId="7B1FCB9F" w14:textId="77777777" w:rsidR="00AC6FD1" w:rsidRPr="008B056C" w:rsidRDefault="00232CDD" w:rsidP="00AA17FE">
      <w:pPr>
        <w:jc w:val="both"/>
        <w:rPr>
          <w:b/>
          <w:bCs/>
          <w:sz w:val="22"/>
          <w:szCs w:val="22"/>
        </w:rPr>
      </w:pPr>
      <w:r w:rsidRPr="008B056C">
        <w:rPr>
          <w:b/>
          <w:bCs/>
          <w:i/>
          <w:iCs/>
          <w:sz w:val="22"/>
          <w:szCs w:val="22"/>
        </w:rPr>
        <w:t>Сообщение о возможных и существующих нарушениях</w:t>
      </w:r>
    </w:p>
    <w:p w14:paraId="0DD37A17" w14:textId="77777777" w:rsidR="00AC6FD1" w:rsidRPr="005739CA" w:rsidRDefault="00232CDD" w:rsidP="008B056C">
      <w:pPr>
        <w:spacing w:after="240"/>
        <w:jc w:val="both"/>
        <w:rPr>
          <w:sz w:val="22"/>
          <w:szCs w:val="22"/>
        </w:rPr>
      </w:pPr>
      <w:r w:rsidRPr="005739CA">
        <w:rPr>
          <w:sz w:val="22"/>
          <w:szCs w:val="22"/>
        </w:rPr>
        <w:t xml:space="preserve">Мы рассчитываем, что наши Деловые партнеры и лица, действующие от их имени в связи с исполнением обязательств в отношении компании Пфайзер, будут сообщать о случаях, когда возможно нарушение вышеописанных антикоррупционных принципов борьбы со взяточничеством и коррупцией либо применимых законов. Такие сообщения могут быть направлены контактным лицам Деловых партнеров в компании Пфайзер либо самостоятельно Корпоративной группе по соблюдению политик и процедур по следующему электронному адресу </w:t>
      </w:r>
      <w:hyperlink r:id="rId8" w:history="1">
        <w:r w:rsidRPr="005739CA">
          <w:rPr>
            <w:sz w:val="22"/>
            <w:szCs w:val="22"/>
            <w:u w:val="single"/>
            <w:lang w:val="en-US" w:eastAsia="en-US" w:bidi="en-US"/>
          </w:rPr>
          <w:t>corporate</w:t>
        </w:r>
        <w:r w:rsidRPr="005739CA">
          <w:rPr>
            <w:sz w:val="22"/>
            <w:szCs w:val="22"/>
            <w:u w:val="single"/>
            <w:lang w:eastAsia="en-US" w:bidi="en-US"/>
          </w:rPr>
          <w:t>.</w:t>
        </w:r>
        <w:r w:rsidRPr="005739CA">
          <w:rPr>
            <w:sz w:val="22"/>
            <w:szCs w:val="22"/>
            <w:u w:val="single"/>
            <w:lang w:val="en-US" w:eastAsia="en-US" w:bidi="en-US"/>
          </w:rPr>
          <w:t>compliance</w:t>
        </w:r>
        <w:r w:rsidRPr="005739CA">
          <w:rPr>
            <w:sz w:val="22"/>
            <w:szCs w:val="22"/>
            <w:u w:val="single"/>
            <w:lang w:eastAsia="en-US" w:bidi="en-US"/>
          </w:rPr>
          <w:t>@</w:t>
        </w:r>
        <w:r w:rsidRPr="005739CA">
          <w:rPr>
            <w:sz w:val="22"/>
            <w:szCs w:val="22"/>
            <w:u w:val="single"/>
            <w:lang w:val="en-US" w:eastAsia="en-US" w:bidi="en-US"/>
          </w:rPr>
          <w:t>pfizer</w:t>
        </w:r>
        <w:r w:rsidRPr="005739CA">
          <w:rPr>
            <w:sz w:val="22"/>
            <w:szCs w:val="22"/>
            <w:u w:val="single"/>
            <w:lang w:eastAsia="en-US" w:bidi="en-US"/>
          </w:rPr>
          <w:t>.</w:t>
        </w:r>
        <w:r w:rsidRPr="005739CA">
          <w:rPr>
            <w:sz w:val="22"/>
            <w:szCs w:val="22"/>
            <w:u w:val="single"/>
            <w:lang w:val="en-US" w:eastAsia="en-US" w:bidi="en-US"/>
          </w:rPr>
          <w:t>com</w:t>
        </w:r>
      </w:hyperlink>
      <w:r w:rsidRPr="005739CA">
        <w:rPr>
          <w:sz w:val="22"/>
          <w:szCs w:val="22"/>
          <w:lang w:eastAsia="en-US" w:bidi="en-US"/>
        </w:rPr>
        <w:t xml:space="preserve"> </w:t>
      </w:r>
      <w:r w:rsidRPr="005739CA">
        <w:rPr>
          <w:sz w:val="22"/>
          <w:szCs w:val="22"/>
        </w:rPr>
        <w:t>или по телефону +1-212-733-3026.</w:t>
      </w:r>
    </w:p>
    <w:p w14:paraId="04FF8A6B" w14:textId="542AAFEC" w:rsidR="00AC6FD1" w:rsidRDefault="00232CDD" w:rsidP="00AE6776">
      <w:pPr>
        <w:spacing w:after="240"/>
        <w:jc w:val="both"/>
        <w:outlineLvl w:val="0"/>
        <w:rPr>
          <w:b/>
          <w:bCs/>
          <w:sz w:val="22"/>
          <w:szCs w:val="22"/>
        </w:rPr>
      </w:pPr>
      <w:bookmarkStart w:id="17" w:name="bookmark17"/>
      <w:r w:rsidRPr="005739CA">
        <w:rPr>
          <w:sz w:val="22"/>
          <w:szCs w:val="22"/>
        </w:rPr>
        <w:t xml:space="preserve">Покупатель: </w:t>
      </w:r>
      <w:r w:rsidRPr="005739CA">
        <w:rPr>
          <w:b/>
          <w:bCs/>
          <w:sz w:val="22"/>
          <w:szCs w:val="22"/>
        </w:rPr>
        <w:t xml:space="preserve">ЗАО </w:t>
      </w:r>
      <w:r w:rsidR="00C13735">
        <w:rPr>
          <w:b/>
          <w:bCs/>
          <w:sz w:val="22"/>
          <w:szCs w:val="22"/>
        </w:rPr>
        <w:t>“</w:t>
      </w:r>
      <w:r w:rsidRPr="005739CA">
        <w:rPr>
          <w:b/>
          <w:bCs/>
          <w:sz w:val="22"/>
          <w:szCs w:val="22"/>
        </w:rPr>
        <w:t xml:space="preserve">Многопрофильная </w:t>
      </w:r>
      <w:bookmarkEnd w:id="17"/>
      <w:r w:rsidRPr="005739CA">
        <w:rPr>
          <w:b/>
          <w:bCs/>
          <w:sz w:val="22"/>
          <w:szCs w:val="22"/>
        </w:rPr>
        <w:t xml:space="preserve">медицинская компания </w:t>
      </w:r>
      <w:r w:rsidR="00C13735">
        <w:rPr>
          <w:b/>
          <w:bCs/>
          <w:sz w:val="22"/>
          <w:szCs w:val="22"/>
        </w:rPr>
        <w:t>“</w:t>
      </w:r>
      <w:proofErr w:type="spellStart"/>
      <w:r w:rsidRPr="005739CA">
        <w:rPr>
          <w:b/>
          <w:bCs/>
          <w:sz w:val="22"/>
          <w:szCs w:val="22"/>
        </w:rPr>
        <w:t>Формед</w:t>
      </w:r>
      <w:proofErr w:type="spellEnd"/>
      <w:r w:rsidR="00C13735">
        <w:rPr>
          <w:b/>
          <w:bCs/>
          <w:sz w:val="22"/>
          <w:szCs w:val="22"/>
        </w:rPr>
        <w:t>”</w:t>
      </w:r>
    </w:p>
    <w:p w14:paraId="3E17FD66" w14:textId="0EA6862C" w:rsidR="00AE6776" w:rsidRDefault="00AE6776" w:rsidP="00AA17FE">
      <w:pPr>
        <w:jc w:val="both"/>
        <w:outlineLvl w:val="0"/>
        <w:rPr>
          <w:sz w:val="22"/>
          <w:szCs w:val="22"/>
        </w:rPr>
      </w:pPr>
      <w:r w:rsidRPr="00AE6776">
        <w:rPr>
          <w:i/>
          <w:iCs/>
          <w:sz w:val="22"/>
          <w:szCs w:val="22"/>
          <w:u w:val="single"/>
          <w:lang w:val="en-US"/>
        </w:rPr>
        <w:t>[signature]</w:t>
      </w:r>
      <w:r>
        <w:rPr>
          <w:b/>
          <w:bCs/>
          <w:sz w:val="22"/>
          <w:szCs w:val="22"/>
          <w:lang w:val="en-US"/>
        </w:rPr>
        <w:t xml:space="preserve"> </w:t>
      </w:r>
      <w:r w:rsidRPr="00AE6776">
        <w:rPr>
          <w:sz w:val="22"/>
          <w:szCs w:val="22"/>
        </w:rPr>
        <w:t>/Н.А. Соседова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78"/>
        <w:gridCol w:w="851"/>
        <w:gridCol w:w="5261"/>
      </w:tblGrid>
      <w:tr w:rsidR="00CB0097" w:rsidRPr="00F12DC8" w14:paraId="65C2FCEE" w14:textId="77777777" w:rsidTr="00D45D8E">
        <w:tc>
          <w:tcPr>
            <w:tcW w:w="4678" w:type="dxa"/>
          </w:tcPr>
          <w:p w14:paraId="3AB36CBF" w14:textId="77777777" w:rsidR="00CB0097" w:rsidRPr="004D1AA8" w:rsidRDefault="00CB0097" w:rsidP="00D45D8E">
            <w:pPr>
              <w:rPr>
                <w:sz w:val="20"/>
                <w:szCs w:val="20"/>
              </w:rPr>
            </w:pPr>
            <w:r w:rsidRPr="004D1AA8">
              <w:rPr>
                <w:sz w:val="20"/>
                <w:szCs w:val="20"/>
              </w:rPr>
              <w:t>[</w:t>
            </w:r>
            <w:r w:rsidRPr="004D1AA8">
              <w:rPr>
                <w:sz w:val="20"/>
                <w:szCs w:val="20"/>
                <w:lang w:val="en-US"/>
              </w:rPr>
              <w:t>stamp</w:t>
            </w:r>
            <w:r w:rsidRPr="004D1AA8">
              <w:rPr>
                <w:sz w:val="20"/>
                <w:szCs w:val="20"/>
              </w:rPr>
              <w:t xml:space="preserve">]: </w:t>
            </w:r>
            <w:r w:rsidRPr="004D1AA8">
              <w:rPr>
                <w:sz w:val="20"/>
                <w:szCs w:val="20"/>
                <w:lang w:val="en-US"/>
              </w:rPr>
              <w:t>illegible</w:t>
            </w:r>
          </w:p>
          <w:p w14:paraId="105FA917" w14:textId="5EE3F72E" w:rsidR="00CB0097" w:rsidRPr="004D1AA8" w:rsidRDefault="00CB0097" w:rsidP="00D45D8E">
            <w:pPr>
              <w:rPr>
                <w:sz w:val="20"/>
                <w:szCs w:val="20"/>
              </w:rPr>
            </w:pPr>
            <w:r w:rsidRPr="004D1AA8">
              <w:rPr>
                <w:sz w:val="20"/>
                <w:szCs w:val="20"/>
                <w:lang w:val="en-US"/>
              </w:rPr>
              <w:sym w:font="Wingdings" w:char="F0AB"/>
            </w:r>
            <w:r w:rsidRPr="004D1AA8">
              <w:rPr>
                <w:sz w:val="20"/>
                <w:szCs w:val="20"/>
              </w:rPr>
              <w:t>МОСКВА</w:t>
            </w:r>
            <w:r w:rsidRPr="004D1AA8">
              <w:rPr>
                <w:sz w:val="20"/>
                <w:szCs w:val="20"/>
              </w:rPr>
              <w:sym w:font="Wingdings" w:char="F0AB"/>
            </w:r>
            <w:r w:rsidRPr="004D1AA8">
              <w:rPr>
                <w:sz w:val="20"/>
                <w:szCs w:val="20"/>
              </w:rPr>
              <w:t xml:space="preserve"> ОБЩЕСТВО С ОГРАНИЧЕННОЙ ОТВЕТСТВЕННОСТЬЮ</w:t>
            </w:r>
            <w:r w:rsidRPr="004D1AA8">
              <w:rPr>
                <w:sz w:val="20"/>
                <w:szCs w:val="20"/>
              </w:rPr>
              <w:sym w:font="Wingdings" w:char="F0AB"/>
            </w:r>
            <w:r w:rsidRPr="004D1AA8">
              <w:rPr>
                <w:sz w:val="20"/>
                <w:szCs w:val="20"/>
              </w:rPr>
              <w:t>ОГРН</w:t>
            </w:r>
            <w:r w:rsidR="0045562D" w:rsidRPr="0045562D">
              <w:rPr>
                <w:sz w:val="20"/>
                <w:szCs w:val="20"/>
                <w:highlight w:val="yellow"/>
              </w:rPr>
              <w:t>[illegible]</w:t>
            </w:r>
          </w:p>
          <w:p w14:paraId="40E698B1" w14:textId="4F532662" w:rsidR="00CB0097" w:rsidRPr="004D1AA8" w:rsidRDefault="00C13735" w:rsidP="00D45D8E">
            <w:pPr>
              <w:rPr>
                <w:sz w:val="20"/>
                <w:szCs w:val="20"/>
                <w:lang w:val="en-US"/>
              </w:rPr>
            </w:pPr>
            <w:r>
              <w:rPr>
                <w:sz w:val="20"/>
                <w:szCs w:val="20"/>
                <w:lang w:val="en-US"/>
              </w:rPr>
              <w:t>“</w:t>
            </w:r>
            <w:r w:rsidR="00CB0097" w:rsidRPr="004D1AA8">
              <w:rPr>
                <w:sz w:val="20"/>
                <w:szCs w:val="20"/>
              </w:rPr>
              <w:t>Пфайзер</w:t>
            </w:r>
            <w:r w:rsidR="00CB0097" w:rsidRPr="004D1AA8">
              <w:rPr>
                <w:sz w:val="20"/>
                <w:szCs w:val="20"/>
                <w:lang w:val="en-US"/>
              </w:rPr>
              <w:t xml:space="preserve"> </w:t>
            </w:r>
            <w:r w:rsidR="00CB0097" w:rsidRPr="004D1AA8">
              <w:rPr>
                <w:sz w:val="20"/>
                <w:szCs w:val="20"/>
              </w:rPr>
              <w:t>Инновации</w:t>
            </w:r>
            <w:r>
              <w:rPr>
                <w:sz w:val="20"/>
                <w:szCs w:val="20"/>
                <w:lang w:val="en-US"/>
              </w:rPr>
              <w:t>”</w:t>
            </w:r>
          </w:p>
          <w:p w14:paraId="697CA720" w14:textId="77777777" w:rsidR="00CB0097" w:rsidRPr="004D1AA8" w:rsidRDefault="00CB0097" w:rsidP="00D45D8E">
            <w:pPr>
              <w:rPr>
                <w:lang w:val="en-US"/>
              </w:rPr>
            </w:pPr>
            <w:r w:rsidRPr="004D1AA8">
              <w:rPr>
                <w:sz w:val="20"/>
                <w:szCs w:val="20"/>
                <w:lang w:val="en-US"/>
              </w:rPr>
              <w:t>Pfizer Innovations LLC</w:t>
            </w:r>
          </w:p>
        </w:tc>
        <w:tc>
          <w:tcPr>
            <w:tcW w:w="851" w:type="dxa"/>
          </w:tcPr>
          <w:p w14:paraId="6E2454E2" w14:textId="77777777" w:rsidR="00CB0097" w:rsidRPr="004D1AA8" w:rsidRDefault="00CB0097" w:rsidP="00D45D8E">
            <w:pPr>
              <w:rPr>
                <w:lang w:val="en-US"/>
              </w:rPr>
            </w:pPr>
          </w:p>
        </w:tc>
        <w:tc>
          <w:tcPr>
            <w:tcW w:w="5261" w:type="dxa"/>
          </w:tcPr>
          <w:p w14:paraId="6F7E7707" w14:textId="785276F3" w:rsidR="00CB0097" w:rsidRDefault="00CB0097" w:rsidP="00463395">
            <w:pPr>
              <w:rPr>
                <w:sz w:val="20"/>
                <w:szCs w:val="20"/>
              </w:rPr>
            </w:pPr>
            <w:r w:rsidRPr="00F12DC8">
              <w:rPr>
                <w:sz w:val="20"/>
                <w:szCs w:val="20"/>
              </w:rPr>
              <w:t>[</w:t>
            </w:r>
            <w:r w:rsidRPr="004D1AA8">
              <w:rPr>
                <w:sz w:val="20"/>
                <w:szCs w:val="20"/>
                <w:lang w:val="en-US"/>
              </w:rPr>
              <w:t>stamp</w:t>
            </w:r>
            <w:r w:rsidRPr="00F12DC8">
              <w:rPr>
                <w:sz w:val="20"/>
                <w:szCs w:val="20"/>
              </w:rPr>
              <w:t xml:space="preserve">]: </w:t>
            </w:r>
            <w:r w:rsidR="00F12DC8" w:rsidRPr="004D1AA8">
              <w:rPr>
                <w:sz w:val="20"/>
                <w:szCs w:val="20"/>
                <w:lang w:val="en-US"/>
              </w:rPr>
              <w:sym w:font="Wingdings" w:char="F0AB"/>
            </w:r>
            <w:r w:rsidR="00F12DC8" w:rsidRPr="004D1AA8">
              <w:rPr>
                <w:sz w:val="20"/>
                <w:szCs w:val="20"/>
              </w:rPr>
              <w:t>МОСКВА</w:t>
            </w:r>
            <w:r w:rsidR="00F12DC8" w:rsidRPr="004D1AA8">
              <w:rPr>
                <w:sz w:val="20"/>
                <w:szCs w:val="20"/>
              </w:rPr>
              <w:sym w:font="Wingdings" w:char="F0AB"/>
            </w:r>
            <w:r w:rsidR="00F12DC8" w:rsidRPr="004D1AA8">
              <w:rPr>
                <w:sz w:val="20"/>
                <w:szCs w:val="20"/>
              </w:rPr>
              <w:t xml:space="preserve"> </w:t>
            </w:r>
            <w:r w:rsidR="00463395">
              <w:rPr>
                <w:sz w:val="20"/>
                <w:szCs w:val="20"/>
              </w:rPr>
              <w:t xml:space="preserve">ЗАКРЫТОЕ АКЦИОНЕРНОЕ ОБЩЕСТВО ОГРН </w:t>
            </w:r>
            <w:r w:rsidR="0045562D" w:rsidRPr="0045562D">
              <w:rPr>
                <w:sz w:val="20"/>
                <w:szCs w:val="20"/>
                <w:highlight w:val="yellow"/>
              </w:rPr>
              <w:t>[illegible]</w:t>
            </w:r>
            <w:r w:rsidR="00463395" w:rsidRPr="0045562D">
              <w:rPr>
                <w:sz w:val="20"/>
                <w:szCs w:val="20"/>
              </w:rPr>
              <w:t xml:space="preserve"> </w:t>
            </w:r>
          </w:p>
          <w:p w14:paraId="3080A387" w14:textId="352FCDEB" w:rsidR="0045562D" w:rsidRDefault="0045562D" w:rsidP="00463395">
            <w:pPr>
              <w:rPr>
                <w:sz w:val="20"/>
                <w:szCs w:val="20"/>
                <w:lang w:val="en-US"/>
              </w:rPr>
            </w:pPr>
            <w:r w:rsidRPr="0045562D">
              <w:rPr>
                <w:sz w:val="20"/>
                <w:szCs w:val="20"/>
                <w:highlight w:val="yellow"/>
                <w:lang w:val="en-US"/>
              </w:rPr>
              <w:t>[illegible]</w:t>
            </w:r>
          </w:p>
          <w:p w14:paraId="6FDA51DC" w14:textId="77777777" w:rsidR="0045562D" w:rsidRDefault="0045562D" w:rsidP="00463395">
            <w:pPr>
              <w:rPr>
                <w:sz w:val="20"/>
                <w:szCs w:val="20"/>
              </w:rPr>
            </w:pPr>
            <w:r>
              <w:rPr>
                <w:sz w:val="20"/>
                <w:szCs w:val="20"/>
              </w:rPr>
              <w:t>Формед</w:t>
            </w:r>
          </w:p>
          <w:p w14:paraId="02D94F47" w14:textId="50DF36A7" w:rsidR="0045562D" w:rsidRPr="0045562D" w:rsidRDefault="0045562D" w:rsidP="00463395">
            <w:pPr>
              <w:rPr>
                <w:sz w:val="20"/>
                <w:szCs w:val="20"/>
                <w:lang w:val="en-US"/>
              </w:rPr>
            </w:pPr>
            <w:r>
              <w:rPr>
                <w:sz w:val="20"/>
                <w:szCs w:val="20"/>
                <w:lang w:val="en-US"/>
              </w:rPr>
              <w:t>Formed</w:t>
            </w:r>
          </w:p>
        </w:tc>
      </w:tr>
    </w:tbl>
    <w:p w14:paraId="2575FE8F" w14:textId="77777777" w:rsidR="00CB0097" w:rsidRPr="00AE6776" w:rsidRDefault="00CB0097" w:rsidP="00AA17FE">
      <w:pPr>
        <w:jc w:val="both"/>
        <w:outlineLvl w:val="0"/>
        <w:rPr>
          <w:b/>
          <w:bCs/>
          <w:sz w:val="22"/>
          <w:szCs w:val="22"/>
        </w:rPr>
      </w:pPr>
    </w:p>
    <w:sectPr w:rsidR="00CB0097" w:rsidRPr="00AE6776" w:rsidSect="00AA17FE">
      <w:headerReference w:type="default" r:id="rId9"/>
      <w:footerReference w:type="default" r:id="rId10"/>
      <w:type w:val="continuous"/>
      <w:pgSz w:w="12240" w:h="15840" w:code="1"/>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59F83" w14:textId="77777777" w:rsidR="008D23B1" w:rsidRDefault="008D23B1">
      <w:r>
        <w:separator/>
      </w:r>
    </w:p>
  </w:endnote>
  <w:endnote w:type="continuationSeparator" w:id="0">
    <w:p w14:paraId="736F2C9B" w14:textId="77777777" w:rsidR="008D23B1" w:rsidRDefault="008D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41246" w14:textId="68A41840" w:rsidR="005739CA" w:rsidRPr="005739CA" w:rsidRDefault="005739CA" w:rsidP="005739CA">
    <w:pPr>
      <w:pStyle w:val="Footer"/>
      <w:spacing w:after="240"/>
      <w:jc w:val="right"/>
      <w:rPr>
        <w:sz w:val="20"/>
        <w:szCs w:val="20"/>
      </w:rPr>
    </w:pPr>
    <w:r w:rsidRPr="005739CA">
      <w:rPr>
        <w:sz w:val="20"/>
        <w:szCs w:val="20"/>
      </w:rPr>
      <w:fldChar w:fldCharType="begin"/>
    </w:r>
    <w:r w:rsidRPr="005739CA">
      <w:rPr>
        <w:sz w:val="20"/>
        <w:szCs w:val="20"/>
      </w:rPr>
      <w:instrText xml:space="preserve"> PAGE  \* Arabic  \* MERGEFORMAT </w:instrText>
    </w:r>
    <w:r w:rsidRPr="005739CA">
      <w:rPr>
        <w:sz w:val="20"/>
        <w:szCs w:val="20"/>
      </w:rPr>
      <w:fldChar w:fldCharType="separate"/>
    </w:r>
    <w:r w:rsidRPr="005739CA">
      <w:rPr>
        <w:noProof/>
        <w:sz w:val="20"/>
        <w:szCs w:val="20"/>
      </w:rPr>
      <w:t>1</w:t>
    </w:r>
    <w:r w:rsidRPr="005739C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D2E0B" w14:textId="77777777" w:rsidR="008D23B1" w:rsidRDefault="008D23B1"/>
  </w:footnote>
  <w:footnote w:type="continuationSeparator" w:id="0">
    <w:p w14:paraId="401170F2" w14:textId="77777777" w:rsidR="008D23B1" w:rsidRDefault="008D2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1DAD1" w14:textId="58A8E0DD" w:rsidR="005739CA" w:rsidRPr="005739CA" w:rsidRDefault="005739CA" w:rsidP="005739CA">
    <w:pPr>
      <w:pStyle w:val="Header"/>
      <w:spacing w:before="240"/>
      <w:jc w:val="right"/>
      <w:rPr>
        <w:i/>
        <w:iCs/>
        <w:sz w:val="20"/>
        <w:szCs w:val="20"/>
      </w:rPr>
    </w:pPr>
    <w:r w:rsidRPr="005739CA">
      <w:rPr>
        <w:i/>
        <w:iCs/>
        <w:sz w:val="20"/>
        <w:szCs w:val="20"/>
      </w:rPr>
      <w:t>Типовой договор ООО «Пфайзер Инновации» (поставка в кредит)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B39FC"/>
    <w:multiLevelType w:val="multilevel"/>
    <w:tmpl w:val="124685D8"/>
    <w:lvl w:ilvl="0">
      <w:start w:val="1"/>
      <w:numFmt w:val="bullet"/>
      <w:lvlText w:val="o"/>
      <w:lvlJc w:val="left"/>
      <w:pPr>
        <w:ind w:left="851" w:hanging="284"/>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300A3C"/>
    <w:multiLevelType w:val="multilevel"/>
    <w:tmpl w:val="8F8ED0E2"/>
    <w:lvl w:ilvl="0">
      <w:start w:val="1"/>
      <w:numFmt w:val="lowerRoman"/>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0954A7"/>
    <w:multiLevelType w:val="hybridMultilevel"/>
    <w:tmpl w:val="A98837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68460E"/>
    <w:multiLevelType w:val="hybridMultilevel"/>
    <w:tmpl w:val="0C5EB708"/>
    <w:lvl w:ilvl="0" w:tplc="044420E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2423E3"/>
    <w:multiLevelType w:val="multilevel"/>
    <w:tmpl w:val="42786A3A"/>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4"/>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D1"/>
    <w:rsid w:val="00020FBC"/>
    <w:rsid w:val="000C5176"/>
    <w:rsid w:val="0013486F"/>
    <w:rsid w:val="001F1F10"/>
    <w:rsid w:val="00232CDD"/>
    <w:rsid w:val="00374442"/>
    <w:rsid w:val="003913DD"/>
    <w:rsid w:val="003B22DE"/>
    <w:rsid w:val="0045562D"/>
    <w:rsid w:val="00463395"/>
    <w:rsid w:val="00537713"/>
    <w:rsid w:val="005739CA"/>
    <w:rsid w:val="005E53A7"/>
    <w:rsid w:val="006665D8"/>
    <w:rsid w:val="008B056C"/>
    <w:rsid w:val="008D23B1"/>
    <w:rsid w:val="00A233EC"/>
    <w:rsid w:val="00AA17FE"/>
    <w:rsid w:val="00AC6FD1"/>
    <w:rsid w:val="00AE6776"/>
    <w:rsid w:val="00C13735"/>
    <w:rsid w:val="00C16F23"/>
    <w:rsid w:val="00CB0097"/>
    <w:rsid w:val="00DF2218"/>
    <w:rsid w:val="00DF707A"/>
    <w:rsid w:val="00F12DC8"/>
    <w:rsid w:val="00F8434D"/>
    <w:rsid w:val="00FD3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7B2D"/>
  <w15:docId w15:val="{86540163-E0D9-41FE-89D3-A3BF3291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ListParagraph"/>
    <w:next w:val="Normal"/>
    <w:link w:val="Heading1Char"/>
    <w:uiPriority w:val="9"/>
    <w:qFormat/>
    <w:rsid w:val="005739CA"/>
    <w:pPr>
      <w:numPr>
        <w:numId w:val="4"/>
      </w:numPr>
      <w:tabs>
        <w:tab w:val="left" w:pos="567"/>
      </w:tabs>
      <w:spacing w:before="120" w:after="120"/>
      <w:contextualSpacing w:val="0"/>
      <w:jc w:val="center"/>
      <w:outlineLvl w:val="0"/>
    </w:pPr>
    <w:rPr>
      <w:b/>
      <w:bCs/>
      <w:sz w:val="22"/>
      <w:szCs w:val="22"/>
    </w:rPr>
  </w:style>
  <w:style w:type="paragraph" w:styleId="Heading2">
    <w:name w:val="heading 2"/>
    <w:basedOn w:val="Normal"/>
    <w:next w:val="Normal"/>
    <w:link w:val="Heading2Char"/>
    <w:uiPriority w:val="9"/>
    <w:unhideWhenUsed/>
    <w:qFormat/>
    <w:rsid w:val="005739CA"/>
    <w:pPr>
      <w:keepNext/>
      <w:keepLines/>
      <w:numPr>
        <w:ilvl w:val="1"/>
        <w:numId w:val="4"/>
      </w:numPr>
      <w:spacing w:before="40"/>
      <w:jc w:val="both"/>
      <w:outlineLvl w:val="1"/>
    </w:pPr>
    <w:rPr>
      <w:rFonts w:eastAsiaTheme="majorEastAsia" w:cstheme="majorBidi"/>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9CA"/>
    <w:pPr>
      <w:tabs>
        <w:tab w:val="center" w:pos="4677"/>
        <w:tab w:val="right" w:pos="9355"/>
      </w:tabs>
    </w:pPr>
  </w:style>
  <w:style w:type="character" w:customStyle="1" w:styleId="HeaderChar">
    <w:name w:val="Header Char"/>
    <w:basedOn w:val="DefaultParagraphFont"/>
    <w:link w:val="Header"/>
    <w:uiPriority w:val="99"/>
    <w:rsid w:val="005739CA"/>
    <w:rPr>
      <w:color w:val="000000"/>
    </w:rPr>
  </w:style>
  <w:style w:type="paragraph" w:styleId="Footer">
    <w:name w:val="footer"/>
    <w:basedOn w:val="Normal"/>
    <w:link w:val="FooterChar"/>
    <w:uiPriority w:val="99"/>
    <w:unhideWhenUsed/>
    <w:rsid w:val="005739CA"/>
    <w:pPr>
      <w:tabs>
        <w:tab w:val="center" w:pos="4677"/>
        <w:tab w:val="right" w:pos="9355"/>
      </w:tabs>
    </w:pPr>
  </w:style>
  <w:style w:type="character" w:customStyle="1" w:styleId="FooterChar">
    <w:name w:val="Footer Char"/>
    <w:basedOn w:val="DefaultParagraphFont"/>
    <w:link w:val="Footer"/>
    <w:uiPriority w:val="99"/>
    <w:rsid w:val="005739CA"/>
    <w:rPr>
      <w:color w:val="000000"/>
    </w:rPr>
  </w:style>
  <w:style w:type="character" w:customStyle="1" w:styleId="Heading1Char">
    <w:name w:val="Heading 1 Char"/>
    <w:basedOn w:val="DefaultParagraphFont"/>
    <w:link w:val="Heading1"/>
    <w:uiPriority w:val="9"/>
    <w:rsid w:val="005739CA"/>
    <w:rPr>
      <w:b/>
      <w:bCs/>
      <w:color w:val="000000"/>
      <w:sz w:val="22"/>
      <w:szCs w:val="22"/>
    </w:rPr>
  </w:style>
  <w:style w:type="paragraph" w:styleId="ListParagraph">
    <w:name w:val="List Paragraph"/>
    <w:basedOn w:val="Normal"/>
    <w:uiPriority w:val="34"/>
    <w:qFormat/>
    <w:rsid w:val="005739CA"/>
    <w:pPr>
      <w:ind w:left="720"/>
      <w:contextualSpacing/>
    </w:pPr>
  </w:style>
  <w:style w:type="character" w:customStyle="1" w:styleId="Heading2Char">
    <w:name w:val="Heading 2 Char"/>
    <w:basedOn w:val="DefaultParagraphFont"/>
    <w:link w:val="Heading2"/>
    <w:uiPriority w:val="9"/>
    <w:rsid w:val="005739CA"/>
    <w:rPr>
      <w:rFonts w:eastAsiaTheme="majorEastAsia" w:cstheme="majorBidi"/>
      <w:color w:val="000000" w:themeColor="text1"/>
      <w:sz w:val="22"/>
      <w:szCs w:val="26"/>
    </w:rPr>
  </w:style>
  <w:style w:type="table" w:styleId="TableGrid">
    <w:name w:val="Table Grid"/>
    <w:basedOn w:val="TableNormal"/>
    <w:uiPriority w:val="39"/>
    <w:rsid w:val="00A2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corporate.comnliance@pfizer.com" TargetMode="External"/><Relationship Id="rId3" Type="http://schemas.openxmlformats.org/officeDocument/2006/relationships/settings" Target="settings.xml"/><Relationship Id="rId7" Type="http://schemas.openxmlformats.org/officeDocument/2006/relationships/hyperlink" Target="http://www.pfize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5611</Words>
  <Characters>31987</Characters>
  <Application>Microsoft Office Word</Application>
  <DocSecurity>0</DocSecurity>
  <Lines>266</Lines>
  <Paragraphs>75</Paragraphs>
  <ScaleCrop>false</ScaleCrop>
  <Company/>
  <LinksUpToDate>false</LinksUpToDate>
  <CharactersWithSpaces>37523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Fennell</cp:lastModifiedBy>
  <cp:revision>4</cp:revision>
  <dcterms:created xsi:type="dcterms:W3CDTF">2020-04-28T16:13:00Z</dcterms:created>
  <dcterms:modified xsi:type="dcterms:W3CDTF">2020-04-28T16:18:00Z</dcterms:modified>
</cp:coreProperties>
</file>